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default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北京中医药大学东直门医院（通州院区）</w:t>
      </w:r>
      <w:r>
        <w:rPr>
          <w:rFonts w:hint="eastAsia"/>
          <w:b/>
          <w:sz w:val="36"/>
          <w:szCs w:val="36"/>
        </w:rPr>
        <w:t>异地医保门诊慢特病业务系统改造</w:t>
      </w:r>
      <w:bookmarkStart w:id="0" w:name="_GoBack"/>
      <w:bookmarkEnd w:id="0"/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  <w:lang w:eastAsia="zh-CN"/>
              </w:rPr>
              <w:t>（可以加微信）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1BD476A9"/>
    <w:rsid w:val="26A3685A"/>
    <w:rsid w:val="28D27913"/>
    <w:rsid w:val="2BD2179D"/>
    <w:rsid w:val="36FB66E1"/>
    <w:rsid w:val="38C15452"/>
    <w:rsid w:val="3DB431D5"/>
    <w:rsid w:val="3FAE471F"/>
    <w:rsid w:val="46D67DAE"/>
    <w:rsid w:val="566356F9"/>
    <w:rsid w:val="5D8A0628"/>
    <w:rsid w:val="64072CD2"/>
    <w:rsid w:val="64B17390"/>
    <w:rsid w:val="68077A94"/>
    <w:rsid w:val="6E4466D3"/>
    <w:rsid w:val="735E1426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2023-09-19T06:06:11Z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