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5B" w:rsidRPr="0070365B" w:rsidRDefault="0070365B" w:rsidP="006003B2">
      <w:pPr>
        <w:widowControl/>
        <w:spacing w:after="240" w:line="75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70365B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北京中医药大学东直门医院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2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018年第</w:t>
      </w:r>
      <w:r w:rsidR="00715279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二</w:t>
      </w:r>
      <w:r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批医疗设备</w:t>
      </w:r>
      <w:r w:rsidRPr="0070365B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招标公告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1.采购人名称：北京中医药大学东直门医院</w:t>
      </w:r>
    </w:p>
    <w:p w:rsidR="0070365B" w:rsidRPr="0070365B" w:rsidRDefault="006003B2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　</w:t>
      </w:r>
      <w:r w:rsidR="0070365B" w:rsidRPr="0070365B">
        <w:rPr>
          <w:rFonts w:ascii="宋体" w:eastAsia="宋体" w:hAnsi="宋体" w:cs="宋体" w:hint="eastAsia"/>
          <w:color w:val="333333"/>
          <w:kern w:val="0"/>
          <w:szCs w:val="21"/>
        </w:rPr>
        <w:t>采购人地址：北京市东城区海运仓5号</w:t>
      </w:r>
    </w:p>
    <w:p w:rsidR="0070365B" w:rsidRPr="0070365B" w:rsidRDefault="006003B2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　</w:t>
      </w:r>
      <w:r w:rsidR="0070365B" w:rsidRPr="0070365B">
        <w:rPr>
          <w:rFonts w:ascii="宋体" w:eastAsia="宋体" w:hAnsi="宋体" w:cs="宋体" w:hint="eastAsia"/>
          <w:color w:val="333333"/>
          <w:kern w:val="0"/>
          <w:szCs w:val="21"/>
        </w:rPr>
        <w:t>采购人电话：010-64010821 王老师</w:t>
      </w:r>
      <w:r w:rsidR="0070365B">
        <w:rPr>
          <w:rFonts w:ascii="宋体" w:eastAsia="宋体" w:hAnsi="宋体" w:cs="宋体" w:hint="eastAsia"/>
          <w:color w:val="333333"/>
          <w:kern w:val="0"/>
          <w:szCs w:val="21"/>
        </w:rPr>
        <w:t>/魏老师</w:t>
      </w:r>
      <w:bookmarkStart w:id="0" w:name="_GoBack"/>
      <w:bookmarkEnd w:id="0"/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2.采购内容：</w:t>
      </w:r>
    </w:p>
    <w:tbl>
      <w:tblPr>
        <w:tblW w:w="38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90"/>
        <w:gridCol w:w="3073"/>
        <w:gridCol w:w="760"/>
      </w:tblGrid>
      <w:tr w:rsidR="0070365B" w:rsidRPr="0070365B" w:rsidTr="00160A9F">
        <w:trPr>
          <w:trHeight w:val="479"/>
          <w:tblCellSpacing w:w="0" w:type="dxa"/>
          <w:jc w:val="center"/>
        </w:trPr>
        <w:tc>
          <w:tcPr>
            <w:tcW w:w="828" w:type="pct"/>
            <w:vAlign w:val="center"/>
            <w:hideMark/>
          </w:tcPr>
          <w:p w:rsidR="0070365B" w:rsidRPr="0070365B" w:rsidRDefault="0070365B" w:rsidP="0075353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33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68" w:type="pct"/>
            <w:vAlign w:val="center"/>
            <w:hideMark/>
          </w:tcPr>
          <w:p w:rsidR="0070365B" w:rsidRPr="0070365B" w:rsidRDefault="0070365B" w:rsidP="0075353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33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科室</w:t>
            </w:r>
          </w:p>
        </w:tc>
        <w:tc>
          <w:tcPr>
            <w:tcW w:w="2408" w:type="pct"/>
            <w:vAlign w:val="center"/>
            <w:hideMark/>
          </w:tcPr>
          <w:p w:rsidR="0070365B" w:rsidRPr="0070365B" w:rsidRDefault="0070365B" w:rsidP="0075353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53533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项目名称</w:t>
            </w:r>
          </w:p>
        </w:tc>
        <w:tc>
          <w:tcPr>
            <w:tcW w:w="596" w:type="pct"/>
            <w:vAlign w:val="center"/>
          </w:tcPr>
          <w:p w:rsidR="0070365B" w:rsidRPr="00753533" w:rsidRDefault="0070365B" w:rsidP="0075353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753533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数量</w:t>
            </w:r>
          </w:p>
        </w:tc>
      </w:tr>
      <w:tr w:rsidR="0070365B" w:rsidRPr="0070365B" w:rsidTr="00160A9F">
        <w:trPr>
          <w:tblCellSpacing w:w="0" w:type="dxa"/>
          <w:jc w:val="center"/>
        </w:trPr>
        <w:tc>
          <w:tcPr>
            <w:tcW w:w="828" w:type="pct"/>
            <w:vAlign w:val="center"/>
            <w:hideMark/>
          </w:tcPr>
          <w:p w:rsidR="0070365B" w:rsidRPr="0070365B" w:rsidRDefault="0070365B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365B"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pct"/>
            <w:vAlign w:val="center"/>
            <w:hideMark/>
          </w:tcPr>
          <w:p w:rsidR="0070365B" w:rsidRPr="0070365B" w:rsidRDefault="00BD0289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康复科</w:t>
            </w:r>
          </w:p>
        </w:tc>
        <w:tc>
          <w:tcPr>
            <w:tcW w:w="2408" w:type="pct"/>
            <w:vAlign w:val="center"/>
            <w:hideMark/>
          </w:tcPr>
          <w:p w:rsidR="0070365B" w:rsidRPr="00753533" w:rsidRDefault="00BD0289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体外冲击波治疗仪</w:t>
            </w:r>
          </w:p>
        </w:tc>
        <w:tc>
          <w:tcPr>
            <w:tcW w:w="596" w:type="pct"/>
          </w:tcPr>
          <w:p w:rsidR="0070365B" w:rsidRPr="00753533" w:rsidRDefault="0070365B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5353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1704B1" w:rsidRPr="0070365B" w:rsidTr="00160A9F">
        <w:trPr>
          <w:tblCellSpacing w:w="0" w:type="dxa"/>
          <w:jc w:val="center"/>
        </w:trPr>
        <w:tc>
          <w:tcPr>
            <w:tcW w:w="828" w:type="pct"/>
            <w:vAlign w:val="center"/>
          </w:tcPr>
          <w:p w:rsidR="001704B1" w:rsidRPr="00753533" w:rsidRDefault="008B4112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8" w:type="pct"/>
          </w:tcPr>
          <w:p w:rsidR="001704B1" w:rsidRDefault="001704B1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肾病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2408" w:type="pct"/>
            <w:vAlign w:val="center"/>
          </w:tcPr>
          <w:p w:rsidR="001704B1" w:rsidRDefault="001704B1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周围血管诊断系统</w:t>
            </w:r>
          </w:p>
        </w:tc>
        <w:tc>
          <w:tcPr>
            <w:tcW w:w="596" w:type="pct"/>
          </w:tcPr>
          <w:p w:rsidR="001704B1" w:rsidRDefault="001704B1" w:rsidP="0070365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3.简要技术要求：</w:t>
      </w:r>
      <w:r w:rsidR="00687CAE">
        <w:rPr>
          <w:rFonts w:ascii="宋体" w:eastAsia="宋体" w:hAnsi="宋体" w:cs="宋体" w:hint="eastAsia"/>
          <w:color w:val="333333"/>
          <w:kern w:val="0"/>
          <w:szCs w:val="21"/>
        </w:rPr>
        <w:t>免费质保三年，技术参数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详见附件要求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4.合格投标人的资格条件：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4.1在中华人民共和国境内注册，能够独立承担民事责任，有服务和供应能力的本国供应商。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4.2满足《中华人民共和国政府采购法》第二十二条规定的所有条件。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4.3在中华人民共和国境内合法注册的，具有独立法人资格，营业执照年检有效。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4.4遵守国家有关法律、法规、规章和北京市政府采购有关的规章，具有良好的商业信誉和健全的财务会计制度。在法律上和财务上独立、合法运作并独立于采购人和采购代理机构之外。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4.5投标人所投的货物及服务应是其经营范围内的。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5.报名需携带资料：以下资料需于2018年</w:t>
      </w:r>
      <w:r w:rsidR="00753533">
        <w:rPr>
          <w:rFonts w:ascii="宋体" w:eastAsia="宋体" w:hAnsi="宋体" w:cs="宋体" w:hint="eastAsia"/>
          <w:color w:val="333333"/>
          <w:kern w:val="0"/>
          <w:szCs w:val="21"/>
        </w:rPr>
        <w:t>5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ED3C77">
        <w:rPr>
          <w:rFonts w:ascii="宋体" w:eastAsia="宋体" w:hAnsi="宋体" w:cs="宋体"/>
          <w:color w:val="333333"/>
          <w:kern w:val="0"/>
          <w:szCs w:val="21"/>
        </w:rPr>
        <w:t>1</w:t>
      </w:r>
      <w:r w:rsidR="001704B1">
        <w:rPr>
          <w:rFonts w:ascii="宋体" w:eastAsia="宋体" w:hAnsi="宋体" w:cs="宋体"/>
          <w:color w:val="333333"/>
          <w:kern w:val="0"/>
          <w:szCs w:val="21"/>
        </w:rPr>
        <w:t>7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日1</w:t>
      </w:r>
      <w:r w:rsidR="00753533">
        <w:rPr>
          <w:rFonts w:ascii="宋体" w:eastAsia="宋体" w:hAnsi="宋体" w:cs="宋体"/>
          <w:color w:val="333333"/>
          <w:kern w:val="0"/>
          <w:szCs w:val="21"/>
        </w:rPr>
        <w:t>4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：00前送至东直门医院物资设备科办公室。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5.1公司营业执照副本复印件，要求三证合一(有“统一社会信用代码”);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(注：我科将在工商等相关网站查询，要求必须提供最新资质，送资质前请务必自行查询核验，一旦查出不一致，视为资质不合格)。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5.2公司医疗器械经营企业许可证或备案凭证副本复印件，针对本项目的投标不能超出该许可证规定的范围(各省食药局网站上查询到的最新证件，否则按资质不合格处理，送资质前请务必自行查询核验，一旦查出不一致，视为资质不合格)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5.3医疗器械生产企业许可证副本(国产产品)(各省食药局网站上查询到的最新证件，否则按资质不合格处理，送资质前请务必自行查询核验，一旦查出不一致，视为资质不合格);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5.4公司法人对业务员委托书原件(委托书须有企业法人签名)及身份证复印件;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5.5公司法人身份证复印件;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5.6医疗器械注册证(效期内)、医疗器械注册登记表(各省食药局网站上查询到的最新证件，否则按资质不合格处理，送资质前请务必自行查询核验，一旦查出不一致，视为资质不合格);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5.7公司提供资质真实有效承诺书(盖红章，法人签字，格式自拟);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5.8代理公司经审计的2017年度财务报告复印件 或 在三个月内出具的银行资信证明(若资信证明中注明了复印无效，则须提交原件)或近一季度电子缴税凭证复印件或上一年度完税证明复印件;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5.9参加本次采购活动前三年内在经营活动中没有重大违法记录的声明;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5.10供应商应打印递交文件截止日前5日内自身在“信用中国”网站(www.creditchina.gov.cn)“详细信息”网页中的所有(展开)内容，包括：基础信息、优良记录、负面记录、受惩黑名单，并加盖供应商公章。根据查询结果，供应商不能有负面记录、不能被列入受惩黑名单，否则递交的文件将被拒绝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5.11产品介绍(如参数、性能、配置等)及彩页;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5.13 供应商需打印递交本公司在“国家企业信用信息网”和“北京市企业信用信息网”查询的公司企业信用信息。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6.报名截止时间：2018年</w:t>
      </w:r>
      <w:r w:rsidR="00753533">
        <w:rPr>
          <w:rFonts w:ascii="宋体" w:eastAsia="宋体" w:hAnsi="宋体" w:cs="宋体"/>
          <w:color w:val="333333"/>
          <w:kern w:val="0"/>
          <w:szCs w:val="21"/>
        </w:rPr>
        <w:t>5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ED3C77">
        <w:rPr>
          <w:rFonts w:ascii="宋体" w:eastAsia="宋体" w:hAnsi="宋体" w:cs="宋体"/>
          <w:color w:val="333333"/>
          <w:kern w:val="0"/>
          <w:szCs w:val="21"/>
        </w:rPr>
        <w:t>1</w:t>
      </w:r>
      <w:r w:rsidR="001704B1">
        <w:rPr>
          <w:rFonts w:ascii="宋体" w:eastAsia="宋体" w:hAnsi="宋体" w:cs="宋体"/>
          <w:color w:val="333333"/>
          <w:kern w:val="0"/>
          <w:szCs w:val="21"/>
        </w:rPr>
        <w:t>7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日1</w:t>
      </w:r>
      <w:r w:rsidR="00753533">
        <w:rPr>
          <w:rFonts w:ascii="宋体" w:eastAsia="宋体" w:hAnsi="宋体" w:cs="宋体"/>
          <w:color w:val="333333"/>
          <w:kern w:val="0"/>
          <w:szCs w:val="21"/>
        </w:rPr>
        <w:t>4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:00。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7.开标时间：具体时间另行通知。</w:t>
      </w:r>
    </w:p>
    <w:p w:rsidR="0070365B" w:rsidRPr="0070365B" w:rsidRDefault="0070365B" w:rsidP="00583366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8.开标地点：北京中医药大学东直门医院第一会议室。</w:t>
      </w:r>
    </w:p>
    <w:p w:rsidR="0070365B" w:rsidRPr="0070365B" w:rsidRDefault="0070365B" w:rsidP="00583366">
      <w:pPr>
        <w:widowControl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北京中医药大学东直门医院</w:t>
      </w:r>
    </w:p>
    <w:p w:rsidR="00753533" w:rsidRDefault="0070365B" w:rsidP="00583366">
      <w:pPr>
        <w:widowControl/>
        <w:spacing w:line="480" w:lineRule="auto"/>
        <w:ind w:firstLine="48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2018-</w:t>
      </w:r>
      <w:r w:rsidR="00ED3C77">
        <w:rPr>
          <w:rFonts w:ascii="宋体" w:eastAsia="宋体" w:hAnsi="宋体" w:cs="宋体"/>
          <w:color w:val="333333"/>
          <w:kern w:val="0"/>
          <w:szCs w:val="21"/>
        </w:rPr>
        <w:t>5</w:t>
      </w:r>
      <w:r w:rsidRPr="0070365B">
        <w:rPr>
          <w:rFonts w:ascii="宋体" w:eastAsia="宋体" w:hAnsi="宋体" w:cs="宋体" w:hint="eastAsia"/>
          <w:color w:val="333333"/>
          <w:kern w:val="0"/>
          <w:szCs w:val="21"/>
        </w:rPr>
        <w:t>-</w:t>
      </w:r>
      <w:r w:rsidR="00ED3C77">
        <w:rPr>
          <w:rFonts w:ascii="宋体" w:eastAsia="宋体" w:hAnsi="宋体" w:cs="宋体"/>
          <w:color w:val="333333"/>
          <w:kern w:val="0"/>
          <w:szCs w:val="21"/>
        </w:rPr>
        <w:t>1</w:t>
      </w:r>
      <w:r w:rsidR="001704B1">
        <w:rPr>
          <w:rFonts w:ascii="宋体" w:eastAsia="宋体" w:hAnsi="宋体" w:cs="宋体"/>
          <w:color w:val="333333"/>
          <w:kern w:val="0"/>
          <w:szCs w:val="21"/>
        </w:rPr>
        <w:t>1</w:t>
      </w:r>
    </w:p>
    <w:p w:rsidR="00753533" w:rsidRDefault="00753533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br w:type="page"/>
      </w:r>
    </w:p>
    <w:p w:rsidR="0070365B" w:rsidRPr="00583366" w:rsidRDefault="00753533" w:rsidP="00583366">
      <w:pPr>
        <w:widowControl/>
        <w:spacing w:after="240" w:line="360" w:lineRule="atLeast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58336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附件:设备技术要求：</w:t>
      </w:r>
    </w:p>
    <w:p w:rsidR="00753533" w:rsidRPr="00583366" w:rsidRDefault="003B5DDB" w:rsidP="00583366">
      <w:pPr>
        <w:pStyle w:val="aa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体外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冲击波治疗仪</w:t>
      </w:r>
      <w:r w:rsidR="00753533" w:rsidRPr="0058336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r w:rsidR="00753533" w:rsidRPr="00583366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1</w:t>
      </w:r>
      <w:r w:rsidR="00753533" w:rsidRPr="00583366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台）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</w:t>
      </w: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产品适用范围：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肩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钙化性肌腱炎、肩峰下疼痛综合症、网球肘、股骨大转子疼痛综合症、髌骨尖综合症、胫骨结节骨软骨炎、胫骨内侧应力综合症、止点性跟腱炎、非止点性跟腱炎、足底筋膜炎、肌筋膜疼痛综合症、特异性和根性腰背疼痛综合症。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</w:t>
      </w: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技术参数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2.1电源供应（伏特）：100 - 240VAC，50 - 60Hz   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*2.2可移动式柜式主机系统（包括：主机、台车、空气压缩机），主机与空气压缩机分离。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2.3工作压力：1.5bar - 4bar 治疗时连续可调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2.4工作频率：4、6、8、10Hz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*2.5手柄治疗头可伸缩，有施压指示器，带压力刻度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2.6手柄有计数器，记录手柄累计使用次数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*2.7手柄数量：标准手柄、手柄套件升级各一个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*2.8最大能流密度：0.31mJ/mm2（标准手柄套件）                            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0.55mJ/mm2（手柄套件升级）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*2.9手柄套件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及冲击头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类型：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2.9.1 手柄套件（4个冲击头）：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ab/>
        <w:t xml:space="preserve"> </w:t>
      </w: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Æ6mm  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（极小部位，踝关节，腱鞘炎，指关节等）</w:t>
      </w:r>
    </w:p>
    <w:p w:rsidR="003B5DDB" w:rsidRPr="003B5DDB" w:rsidRDefault="003B5DDB" w:rsidP="003B5DDB">
      <w:pPr>
        <w:pStyle w:val="aa"/>
        <w:widowControl/>
        <w:spacing w:before="240" w:after="240" w:line="360" w:lineRule="atLeast"/>
        <w:ind w:left="42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Æ10mm放散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（小部位，网球肘等）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Æ15mm 标准放散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（使用频率最高，适用症最广，手柄维护时免费更换）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Æ15mm 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（深部损伤，腰部，臀部等）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2.9.2 手柄套件升级（5个冲击头）：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Æ10mm放散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（小部位）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Æ15mm标准放散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（使用频率最高，适用症最广，手柄维护时免费更换）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Æ36mm大面积放散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（大面积肌肉筋膜放松，创面不愈合，褥疮，压疮等）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Æ15mm 聚焦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（成骨效应，骨不连，骨折延迟愈合，早期股骨头坏死等）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Æ15mm 放散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状冲击头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（深部损伤，腰部，臀部等） </w:t>
      </w:r>
    </w:p>
    <w:p w:rsidR="003B5DDB" w:rsidRP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ab/>
        <w:t>2.9.3冲击头及外壳均可+135℃高温高压消毒</w:t>
      </w:r>
    </w:p>
    <w:p w:rsidR="003B5DDB" w:rsidRPr="003B5DDB" w:rsidRDefault="003B5DDB" w:rsidP="003B5DDB">
      <w:pPr>
        <w:widowControl/>
        <w:spacing w:before="240" w:after="240" w:line="360" w:lineRule="atLeast"/>
        <w:ind w:firstLineChars="30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2.10</w:t>
      </w:r>
      <w:proofErr w:type="gramStart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最大正</w:t>
      </w:r>
      <w:proofErr w:type="gramEnd"/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输出压力：不小于11.2MPa   </w:t>
      </w:r>
    </w:p>
    <w:p w:rsidR="003B5DDB" w:rsidRDefault="003B5DDB" w:rsidP="003B5DDB">
      <w:pPr>
        <w:widowControl/>
        <w:spacing w:before="240" w:after="240"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</w:t>
      </w:r>
      <w:r w:rsidRPr="003B5DD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生产厂商在国内设有直属机构、提供售后维修服务。</w:t>
      </w:r>
    </w:p>
    <w:p w:rsidR="00753533" w:rsidRPr="003B5DDB" w:rsidRDefault="008B4112" w:rsidP="008B4112">
      <w:pPr>
        <w:pStyle w:val="aa"/>
        <w:widowControl/>
        <w:numPr>
          <w:ilvl w:val="0"/>
          <w:numId w:val="2"/>
        </w:numPr>
        <w:spacing w:after="240" w:line="276" w:lineRule="auto"/>
        <w:ind w:firstLineChars="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8B4112">
        <w:rPr>
          <w:rFonts w:ascii="宋体" w:eastAsia="宋体" w:hAnsi="宋体" w:cs="宋体" w:hint="eastAsia"/>
          <w:b/>
          <w:color w:val="333333"/>
          <w:kern w:val="0"/>
          <w:szCs w:val="21"/>
        </w:rPr>
        <w:t>周围血管诊断系统</w:t>
      </w:r>
      <w:r w:rsidR="00753533" w:rsidRPr="003B5DDB">
        <w:rPr>
          <w:rFonts w:ascii="宋体" w:eastAsia="宋体" w:hAnsi="宋体" w:cs="宋体" w:hint="eastAsia"/>
          <w:b/>
          <w:color w:val="333333"/>
          <w:kern w:val="0"/>
          <w:szCs w:val="21"/>
        </w:rPr>
        <w:t>（</w:t>
      </w:r>
      <w:r>
        <w:rPr>
          <w:rFonts w:ascii="宋体" w:eastAsia="宋体" w:hAnsi="宋体" w:cs="宋体"/>
          <w:b/>
          <w:color w:val="333333"/>
          <w:kern w:val="0"/>
          <w:szCs w:val="21"/>
        </w:rPr>
        <w:t>1</w:t>
      </w:r>
      <w:r w:rsidR="00753533" w:rsidRPr="003B5DDB">
        <w:rPr>
          <w:rFonts w:ascii="宋体" w:eastAsia="宋体" w:hAnsi="宋体" w:cs="宋体" w:hint="eastAsia"/>
          <w:b/>
          <w:color w:val="333333"/>
          <w:kern w:val="0"/>
          <w:szCs w:val="21"/>
        </w:rPr>
        <w:t>台）</w:t>
      </w:r>
    </w:p>
    <w:p w:rsidR="001704B1" w:rsidRPr="001704B1" w:rsidRDefault="001704B1" w:rsidP="008B4112">
      <w:pPr>
        <w:pStyle w:val="aa"/>
        <w:widowControl/>
        <w:spacing w:line="276" w:lineRule="auto"/>
        <w:ind w:left="1260"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系统功能：  ABI，TBI，坐姿ABI，节段压，比值自动计算</w:t>
      </w: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控制方式 ： 自动充放气，手柄控制器</w:t>
      </w: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波形模式 ： 双向多普勒，脉搏容积记录（PVR），光电容积描记（PPG）</w:t>
      </w: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多普勒特性 双向连续波（CW），波形幅度精确度﹢/﹣10%</w:t>
      </w: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探头规格： 8.43MHz  5.5MHz</w:t>
      </w: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PPG特性   波长940nm 同步解调 AC配对PVR特性：  频宽0.16-12.5Hz</w:t>
      </w:r>
    </w:p>
    <w:p w:rsidR="001704B1" w:rsidRPr="001704B1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压力特性： 范围：0-265mmHg，精确度﹢/﹣3mmHg,0-200mmHg压力安全：  大于 280mmHg自动放气，大于100mmHg超过3分钟自动放气</w:t>
      </w:r>
    </w:p>
    <w:p w:rsidR="007C040E" w:rsidRPr="00583366" w:rsidRDefault="001704B1" w:rsidP="001704B1">
      <w:pPr>
        <w:pStyle w:val="aa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704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放气速度 ： 正常情况下2.5mmHg/秒</w:t>
      </w:r>
    </w:p>
    <w:sectPr w:rsidR="007C040E" w:rsidRPr="0058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FF2" w:rsidRDefault="006B7FF2" w:rsidP="00753533">
      <w:r>
        <w:separator/>
      </w:r>
    </w:p>
  </w:endnote>
  <w:endnote w:type="continuationSeparator" w:id="0">
    <w:p w:rsidR="006B7FF2" w:rsidRDefault="006B7FF2" w:rsidP="0075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FF2" w:rsidRDefault="006B7FF2" w:rsidP="00753533">
      <w:r>
        <w:separator/>
      </w:r>
    </w:p>
  </w:footnote>
  <w:footnote w:type="continuationSeparator" w:id="0">
    <w:p w:rsidR="006B7FF2" w:rsidRDefault="006B7FF2" w:rsidP="0075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357"/>
    <w:multiLevelType w:val="hybridMultilevel"/>
    <w:tmpl w:val="CB5AC656"/>
    <w:lvl w:ilvl="0" w:tplc="6DE2EB6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6E5FDE"/>
    <w:multiLevelType w:val="hybridMultilevel"/>
    <w:tmpl w:val="7EF86B66"/>
    <w:lvl w:ilvl="0" w:tplc="C28E6C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4E9C064B"/>
    <w:multiLevelType w:val="multilevel"/>
    <w:tmpl w:val="4BBE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5B"/>
    <w:rsid w:val="00160A9F"/>
    <w:rsid w:val="001704B1"/>
    <w:rsid w:val="00240CBB"/>
    <w:rsid w:val="00365148"/>
    <w:rsid w:val="003B5DDB"/>
    <w:rsid w:val="004B14A7"/>
    <w:rsid w:val="00583366"/>
    <w:rsid w:val="006003B2"/>
    <w:rsid w:val="00687CAE"/>
    <w:rsid w:val="006B2F2C"/>
    <w:rsid w:val="006B7FF2"/>
    <w:rsid w:val="006D0F1A"/>
    <w:rsid w:val="0070365B"/>
    <w:rsid w:val="007074BF"/>
    <w:rsid w:val="00715279"/>
    <w:rsid w:val="00753533"/>
    <w:rsid w:val="007C040E"/>
    <w:rsid w:val="00805A4F"/>
    <w:rsid w:val="008B4112"/>
    <w:rsid w:val="008C370D"/>
    <w:rsid w:val="00A84383"/>
    <w:rsid w:val="00AA6C57"/>
    <w:rsid w:val="00AD6F16"/>
    <w:rsid w:val="00BD0289"/>
    <w:rsid w:val="00E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CE00D"/>
  <w15:chartTrackingRefBased/>
  <w15:docId w15:val="{4BD835FD-4A32-41B3-A2A4-910EB305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036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5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36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65B"/>
    <w:rPr>
      <w:b/>
      <w:bCs/>
    </w:rPr>
  </w:style>
  <w:style w:type="character" w:styleId="a5">
    <w:name w:val="Hyperlink"/>
    <w:basedOn w:val="a0"/>
    <w:uiPriority w:val="99"/>
    <w:semiHidden/>
    <w:unhideWhenUsed/>
    <w:rsid w:val="007036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365B"/>
  </w:style>
  <w:style w:type="paragraph" w:styleId="a6">
    <w:name w:val="header"/>
    <w:basedOn w:val="a"/>
    <w:link w:val="a7"/>
    <w:uiPriority w:val="99"/>
    <w:unhideWhenUsed/>
    <w:rsid w:val="0075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35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3533"/>
    <w:rPr>
      <w:sz w:val="18"/>
      <w:szCs w:val="18"/>
    </w:rPr>
  </w:style>
  <w:style w:type="paragraph" w:styleId="aa">
    <w:name w:val="List Paragraph"/>
    <w:basedOn w:val="a"/>
    <w:uiPriority w:val="34"/>
    <w:qFormat/>
    <w:rsid w:val="00753533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D3C7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D3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79">
                      <w:marLeft w:val="0"/>
                      <w:marRight w:val="15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1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2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dashed" w:sz="6" w:space="4" w:color="B8B8B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01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FDFDF"/>
                                <w:left w:val="single" w:sz="6" w:space="26" w:color="DFDFDF"/>
                                <w:bottom w:val="single" w:sz="6" w:space="8" w:color="DFDFDF"/>
                                <w:right w:val="single" w:sz="6" w:space="0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391</Words>
  <Characters>2231</Characters>
  <Application>Microsoft Office Word</Application>
  <DocSecurity>0</DocSecurity>
  <Lines>18</Lines>
  <Paragraphs>5</Paragraphs>
  <ScaleCrop>false</ScaleCrop>
  <Company>Sky123.Org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Dell</cp:lastModifiedBy>
  <cp:revision>9</cp:revision>
  <cp:lastPrinted>2018-05-11T03:01:00Z</cp:lastPrinted>
  <dcterms:created xsi:type="dcterms:W3CDTF">2018-05-04T06:31:00Z</dcterms:created>
  <dcterms:modified xsi:type="dcterms:W3CDTF">2018-05-11T08:47:00Z</dcterms:modified>
</cp:coreProperties>
</file>