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3E" w:rsidRPr="00443BF5" w:rsidRDefault="00D83D3E" w:rsidP="00D83D3E">
      <w:pPr>
        <w:rPr>
          <w:b/>
          <w:sz w:val="32"/>
          <w:szCs w:val="32"/>
        </w:rPr>
      </w:pPr>
      <w:r w:rsidRPr="00443BF5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附件:</w:t>
      </w:r>
      <w:r w:rsidRPr="00443BF5">
        <w:rPr>
          <w:rFonts w:hint="eastAsia"/>
          <w:b/>
          <w:sz w:val="32"/>
          <w:szCs w:val="32"/>
        </w:rPr>
        <w:t xml:space="preserve"> </w:t>
      </w:r>
    </w:p>
    <w:p w:rsidR="00D83D3E" w:rsidRPr="00D83D3E" w:rsidRDefault="00D83D3E" w:rsidP="00D83D3E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D83D3E">
        <w:rPr>
          <w:rFonts w:asciiTheme="majorEastAsia" w:eastAsiaTheme="majorEastAsia" w:hAnsiTheme="majorEastAsia" w:hint="eastAsia"/>
          <w:b/>
          <w:sz w:val="36"/>
          <w:szCs w:val="36"/>
        </w:rPr>
        <w:t>绩效</w:t>
      </w:r>
      <w:r w:rsidRPr="00D83D3E">
        <w:rPr>
          <w:rFonts w:asciiTheme="majorEastAsia" w:eastAsiaTheme="majorEastAsia" w:hAnsiTheme="majorEastAsia"/>
          <w:b/>
          <w:sz w:val="36"/>
          <w:szCs w:val="36"/>
        </w:rPr>
        <w:t>改革</w:t>
      </w:r>
      <w:r w:rsidRPr="00D83D3E">
        <w:rPr>
          <w:rFonts w:asciiTheme="majorEastAsia" w:eastAsiaTheme="majorEastAsia" w:hAnsiTheme="majorEastAsia" w:hint="eastAsia"/>
          <w:b/>
          <w:sz w:val="36"/>
          <w:szCs w:val="36"/>
        </w:rPr>
        <w:t>项目技术需求</w:t>
      </w:r>
      <w:bookmarkEnd w:id="0"/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一、具有独立承担民事责任的能力、具有良好的商业信誉和健全的财务会计制度，有依法缴纳税收和社会保障资金的良好记录，在经营活动中没有重大违法记录；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二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、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具有履行合同所必需的设备和专业技术能力，有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丰富的医院绩效改革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服务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经验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三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、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对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东城院区、通州院区（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以下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简称“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两区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”）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进行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调研，提供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具有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参考意义的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实施方案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和分析报告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四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、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投标人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应按照医院的需求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制定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两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区绩效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方案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，并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通过绩效改革领导小组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同意后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方可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试运行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，方案具有统一性、客观公平性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激励性，通过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新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绩效方案的实施，进一步提高医院的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社会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效益、经营能力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五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、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免费开发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实施绩效软件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，软件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预留接口，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以便后续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与医院其他软件</w:t>
      </w:r>
      <w:proofErr w:type="gramStart"/>
      <w:r w:rsidRPr="00443BF5">
        <w:rPr>
          <w:rFonts w:ascii="宋体" w:eastAsia="宋体" w:hAnsi="宋体"/>
          <w:color w:val="000000" w:themeColor="text1"/>
          <w:sz w:val="24"/>
          <w:szCs w:val="24"/>
        </w:rPr>
        <w:t>做对</w:t>
      </w:r>
      <w:proofErr w:type="gramEnd"/>
      <w:r w:rsidRPr="00443BF5">
        <w:rPr>
          <w:rFonts w:ascii="宋体" w:eastAsia="宋体" w:hAnsi="宋体"/>
          <w:color w:val="000000" w:themeColor="text1"/>
          <w:sz w:val="24"/>
          <w:szCs w:val="24"/>
        </w:rPr>
        <w:t>接，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并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做好后续服务工作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软件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如需升级，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费用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全免；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六、奖金方案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具体需求：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（一）绩效管理方案要求：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bookmarkStart w:id="1" w:name="_Hlk517164669"/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1、医院绩效分配管理体系建设：包括医院绩效一次分配方案设计与实施、科室绩效二次分配方案设计与实施。</w:t>
      </w:r>
    </w:p>
    <w:bookmarkEnd w:id="1"/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2、医院核算和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成本管理体系建设：包括科室经济核算和可控成本控制方案设计和实施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3、医院考核体系建设：包括科室经营量化考核，科室管理考核的方案设计与实施。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4、项目时间：项目自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签订合同后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三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个月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内形成两区统一绩效方案并试运行。项目周期为合同签订后六个月完成。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、提交文件：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（1）科室经济核算方案及可控成本比例控制办法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（2）医院绩效工资一次分配方案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）绩效考核方案（含中层管理人员考核指标）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（4）科室二次绩效分配指导意见及审核后的业务科室二次分配方案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（5）新旧绩效测算比对结果及绩效运行总结报告等。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（6）调研评估报告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（二）绩效软件要求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、核算所需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数据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可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直接获取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、软件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使用部门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不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局限于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经济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核算科，根据不同部门的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使用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开通相应权限，例如：考勤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、职称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系数等与人事相关的统计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应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由人事处填写，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收入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由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H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is系统直接提供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或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通过信息中心提供，如需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二次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加工，需提供软件导入模板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支出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由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财务处、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物资设备科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等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相关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科室负责填写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；科室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二次分配数据可由科室负责人直接在软件上填写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、软件实施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前应与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绩效改革领导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小组办公室充分沟通，满足具体工作需求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D83D3E" w:rsidRPr="00443BF5" w:rsidRDefault="00D83D3E" w:rsidP="00D83D3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43BF5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、软件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的功能：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（1）核算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科室绩效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；（2）核算统计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所有员工奖金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）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按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不同</w:t>
      </w:r>
      <w:proofErr w:type="gramStart"/>
      <w:r w:rsidRPr="00443BF5">
        <w:rPr>
          <w:rFonts w:ascii="宋体" w:eastAsia="宋体" w:hAnsi="宋体"/>
          <w:color w:val="000000" w:themeColor="text1"/>
          <w:sz w:val="24"/>
          <w:szCs w:val="24"/>
        </w:rPr>
        <w:t>维度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多条件</w:t>
      </w:r>
      <w:proofErr w:type="gramEnd"/>
      <w:r w:rsidRPr="00443BF5">
        <w:rPr>
          <w:rFonts w:ascii="宋体" w:eastAsia="宋体" w:hAnsi="宋体"/>
          <w:color w:val="000000" w:themeColor="text1"/>
          <w:sz w:val="24"/>
          <w:szCs w:val="24"/>
        </w:rPr>
        <w:t>查询科室、个人数据，例如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：所有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科室全年的绩效数据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，所有临床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科室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某一项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收入，所有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临床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科室医生的奖金，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不同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职称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级别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的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员工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奖金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统计；（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）可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跨年查询数据；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）横向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纵向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做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数据分析对比，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例如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：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科室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奖金同比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数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、环比数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科室之间门诊量、收入、支出对比；（6）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预警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提示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某科室其中一项比率异常提醒</w:t>
      </w:r>
      <w:r w:rsidRPr="00443BF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Pr="00443BF5">
        <w:rPr>
          <w:rFonts w:ascii="宋体" w:eastAsia="宋体" w:hAnsi="宋体"/>
          <w:color w:val="000000" w:themeColor="text1"/>
          <w:sz w:val="24"/>
          <w:szCs w:val="24"/>
        </w:rPr>
        <w:t>（7）有导入导出功能</w:t>
      </w:r>
    </w:p>
    <w:p w:rsidR="00D83D3E" w:rsidRPr="00443BF5" w:rsidRDefault="00D83D3E" w:rsidP="00D83D3E">
      <w:pPr>
        <w:widowControl/>
        <w:spacing w:after="240" w:line="36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16657" w:rsidRPr="00D83D3E" w:rsidRDefault="00D83D3E"/>
    <w:sectPr w:rsidR="00116657" w:rsidRPr="00D8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3E"/>
    <w:rsid w:val="00BE644F"/>
    <w:rsid w:val="00D83D3E"/>
    <w:rsid w:val="00E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51EAF-E7A7-4DB3-A6D3-C547A6F3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1</cp:revision>
  <dcterms:created xsi:type="dcterms:W3CDTF">2019-03-01T09:08:00Z</dcterms:created>
  <dcterms:modified xsi:type="dcterms:W3CDTF">2019-03-01T09:09:00Z</dcterms:modified>
</cp:coreProperties>
</file>