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Default="00310022" w:rsidP="0031002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10022">
        <w:rPr>
          <w:rFonts w:asciiTheme="majorEastAsia" w:eastAsiaTheme="majorEastAsia" w:hAnsiTheme="majorEastAsia" w:hint="eastAsia"/>
          <w:b/>
          <w:sz w:val="32"/>
          <w:szCs w:val="32"/>
        </w:rPr>
        <w:t>多波长光电综合平台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适应症：用于治疗色素性皮肤病变（如雀斑、皮肤光老化斑等）；皮肤血管性病变；永久性减少毛发；炎性痤疮，皮肤年轻化等。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设备参数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1.类型：强脉冲光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2.光子波长：强脉冲光400-1200nm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3.波长（手具）：≥8种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4.光斑：≥5平方厘米,两种以上光斑面积可选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5.波长更换采用热插拔技术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6.能量密度：强脉冲光≥35J/cm2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7.单发脉冲数：≥3个，子脉冲的能量密度可调节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8.脉宽： 4-20ms，≥10档可调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9.脉冲延迟：5-150ms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10.脉冲宽度技术：连续脉冲宽度，非固定脉宽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11.频率：最高可达1HZ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12.脉冲方式：具备多个同步脉冲，每毫秒可调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 xml:space="preserve">13.冷却方式：具备蓝宝石持续接触式冷却  </w:t>
      </w:r>
    </w:p>
    <w:p w:rsidR="00F61A99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14.自检功能：具备自动检测功能</w:t>
      </w:r>
    </w:p>
    <w:p w:rsidR="00310022" w:rsidRDefault="00310022" w:rsidP="0031002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10022">
        <w:rPr>
          <w:rFonts w:asciiTheme="majorEastAsia" w:eastAsiaTheme="majorEastAsia" w:hAnsiTheme="majorEastAsia" w:hint="eastAsia"/>
          <w:b/>
          <w:sz w:val="32"/>
          <w:szCs w:val="32"/>
        </w:rPr>
        <w:t>非剥脱点阵激光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适应症：用于治疗瘢痕、毛孔粗大、皮肤细纹、眶周皱纹、皮肤年轻化等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技术参数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1.激光波长：1300-1565nm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2.激光能量：10-70mJ可调节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3.图形光斑密度：50-500光斑/cm2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 xml:space="preserve">4.激光的脉冲重复频率：≥2HZ 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5.激光的发射顺序：具备非顺序扫描技术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 xml:space="preserve">6.激光光斑直径：≤180um，光斑≥18mm 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lastRenderedPageBreak/>
        <w:t>7.激光图形形状：线形、正方形、矩形、圆形、环形等可调节</w:t>
      </w:r>
    </w:p>
    <w:p w:rsid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8激光发射方式：具备握持式按钮发射和脚踏开关发射</w:t>
      </w:r>
    </w:p>
    <w:p w:rsidR="00310022" w:rsidRPr="00310022" w:rsidRDefault="00310022" w:rsidP="0031002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10022">
        <w:rPr>
          <w:rFonts w:asciiTheme="majorEastAsia" w:eastAsiaTheme="majorEastAsia" w:hAnsiTheme="majorEastAsia" w:hint="eastAsia"/>
          <w:b/>
          <w:sz w:val="32"/>
          <w:szCs w:val="32"/>
        </w:rPr>
        <w:t>胰岛素泵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310022">
        <w:rPr>
          <w:rFonts w:asciiTheme="minorEastAsia" w:hAnsiTheme="minorEastAsia" w:hint="eastAsia"/>
          <w:bCs/>
          <w:sz w:val="24"/>
          <w:szCs w:val="24"/>
        </w:rPr>
        <w:t>主要功能：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检查和回顾/排气/暂停/健锁定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常规大剂量/方波大剂量/双波大剂量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*大剂量计算器/临时基础率/胰岛素智能分配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.4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大剂量设置/基础量设置（医生可根据病人的需要自动分配设置胰岛素量）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.5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医生模式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1</w:t>
      </w:r>
      <w:r w:rsidRPr="00310022">
        <w:rPr>
          <w:rFonts w:asciiTheme="minorEastAsia" w:hAnsiTheme="minorEastAsia" w:hint="eastAsia"/>
          <w:bCs/>
          <w:sz w:val="24"/>
          <w:szCs w:val="24"/>
        </w:rPr>
        <w:t>.6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声音模式：可选声音、震动或声音加震动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310022">
        <w:rPr>
          <w:rFonts w:asciiTheme="minorEastAsia" w:hAnsiTheme="minorEastAsia" w:hint="eastAsia"/>
          <w:bCs/>
          <w:sz w:val="24"/>
          <w:szCs w:val="24"/>
        </w:rPr>
        <w:t>大剂量：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2.1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大剂量增幅：0.1u、0.5u、1.0u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2.2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餐前大剂量设置：0~80u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2.3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大剂量输注方式：常规﹑方波﹑双波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</w:t>
      </w:r>
      <w:r w:rsidRPr="00310022">
        <w:rPr>
          <w:rFonts w:asciiTheme="minorEastAsia" w:hAnsiTheme="minorEastAsia" w:hint="eastAsia"/>
          <w:bCs/>
          <w:sz w:val="24"/>
          <w:szCs w:val="24"/>
        </w:rPr>
        <w:t>基础量：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3.1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基础量分段：24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3.2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基础量增量：0.01u/h或0.1u/h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3.3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基础量输注频率：4分钟/次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3.4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基础率设置：0~16.0u/h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3.5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临时基础率24小时﹑0-200%﹑每小时10%增量方案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4.</w:t>
      </w:r>
      <w:r w:rsidRPr="00310022">
        <w:rPr>
          <w:rFonts w:asciiTheme="minorEastAsia" w:hAnsiTheme="minorEastAsia" w:hint="eastAsia"/>
          <w:bCs/>
          <w:sz w:val="24"/>
          <w:szCs w:val="24"/>
        </w:rPr>
        <w:t>大剂量向导计算器：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4.1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碳水化合物计算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4.2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校正大剂量功能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  <w:t>4.3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跟踪活性胰岛素量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</w:t>
      </w:r>
      <w:r w:rsidRPr="00310022">
        <w:rPr>
          <w:rFonts w:asciiTheme="minorEastAsia" w:hAnsiTheme="minorEastAsia" w:hint="eastAsia"/>
          <w:bCs/>
          <w:sz w:val="24"/>
          <w:szCs w:val="24"/>
        </w:rPr>
        <w:t>安全设置：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两套微处理系统相互监控，每天数万次自检，保证输注安全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leftChars="150" w:left="315" w:firstLineChars="600" w:firstLine="14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多种报警功能：低电量﹑输注堵塞﹑更换储药器﹑血糖检查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医生模式：专业医护人员在此功能下可以进行许多重要的操作选择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.4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限制：最大大剂量﹑最大日总量﹑最大基础量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lastRenderedPageBreak/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.5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大剂量锁定功能：防止重复输注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.6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键锁定功能：防止意外碰触按钮导致事故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5</w:t>
      </w:r>
      <w:r w:rsidRPr="00310022">
        <w:rPr>
          <w:rFonts w:asciiTheme="minorEastAsia" w:hAnsiTheme="minorEastAsia" w:hint="eastAsia"/>
          <w:bCs/>
          <w:sz w:val="24"/>
          <w:szCs w:val="24"/>
        </w:rPr>
        <w:t>.7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输注误差：±4%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6.</w:t>
      </w:r>
      <w:r w:rsidRPr="00310022">
        <w:rPr>
          <w:rFonts w:asciiTheme="minorEastAsia" w:hAnsiTheme="minorEastAsia" w:hint="eastAsia"/>
          <w:bCs/>
          <w:sz w:val="24"/>
          <w:szCs w:val="24"/>
        </w:rPr>
        <w:t>血糖测试功能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6</w:t>
      </w:r>
      <w:r w:rsidRPr="00310022">
        <w:rPr>
          <w:rFonts w:asciiTheme="minorEastAsia" w:hAnsiTheme="minorEastAsia" w:hint="eastAsia"/>
          <w:bCs/>
          <w:sz w:val="24"/>
          <w:szCs w:val="24"/>
        </w:rPr>
        <w:t>.1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采血量：0.5ul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6</w:t>
      </w:r>
      <w:r w:rsidRPr="00310022">
        <w:rPr>
          <w:rFonts w:asciiTheme="minorEastAsia" w:hAnsiTheme="minorEastAsia" w:hint="eastAsia"/>
          <w:bCs/>
          <w:sz w:val="24"/>
          <w:szCs w:val="24"/>
        </w:rPr>
        <w:t>.2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时间：5秒</w:t>
      </w:r>
    </w:p>
    <w:p w:rsidR="00310022" w:rsidRP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6</w:t>
      </w:r>
      <w:r w:rsidRPr="00310022">
        <w:rPr>
          <w:rFonts w:asciiTheme="minorEastAsia" w:hAnsiTheme="minorEastAsia" w:hint="eastAsia"/>
          <w:bCs/>
          <w:sz w:val="24"/>
          <w:szCs w:val="24"/>
        </w:rPr>
        <w:t>.3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检测范围：20-600mg/dL（1.1-33.3mmol/L）</w:t>
      </w:r>
    </w:p>
    <w:p w:rsidR="00310022" w:rsidRDefault="00310022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6</w:t>
      </w:r>
      <w:r w:rsidRPr="00310022">
        <w:rPr>
          <w:rFonts w:asciiTheme="minorEastAsia" w:hAnsiTheme="minorEastAsia" w:hint="eastAsia"/>
          <w:bCs/>
          <w:sz w:val="24"/>
          <w:szCs w:val="24"/>
        </w:rPr>
        <w:t>.4</w:t>
      </w:r>
      <w:r w:rsidRPr="00310022">
        <w:rPr>
          <w:rFonts w:asciiTheme="minorEastAsia" w:hAnsiTheme="minorEastAsia" w:hint="eastAsia"/>
          <w:bCs/>
          <w:sz w:val="24"/>
          <w:szCs w:val="24"/>
        </w:rPr>
        <w:tab/>
        <w:t>方法：电化学法</w:t>
      </w:r>
    </w:p>
    <w:p w:rsidR="00310022" w:rsidRPr="007F60F0" w:rsidRDefault="007F60F0" w:rsidP="007F60F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F60F0">
        <w:rPr>
          <w:rFonts w:asciiTheme="majorEastAsia" w:eastAsiaTheme="majorEastAsia" w:hAnsiTheme="majorEastAsia" w:hint="eastAsia"/>
          <w:b/>
          <w:sz w:val="32"/>
          <w:szCs w:val="32"/>
        </w:rPr>
        <w:t>智能蜡饼制作恒温系统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多功能恒温蜡疗机的适用范围：用于肢体局部的热敷理疗，促进局部血液循环，促进上皮组织生长，软化松解瘢痕，消除肿胀，松解粘连，镇痛解痉的辅助治疗作用。具体需求如下：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1、全自动运行，多功能自动开关机、熔蜡、过滤、一键放蜡和制饼，无需人工看守或接舀蜡；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2、AC220V±10% 50Hz、功率1500W；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3、温控范围：60℃～95℃、温控精度：±0.1℃（PID控制系统）；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4、具有全自动模式一和全自动模式二两种模式操控，实用更大化满足临床需求；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5、智能一键假期设置、模式切换、出厂设置恢复、消毒功能；一键预约制饼、立即制饼，一键急融急冷、一键恒温，一键制饼数量选择等人性化设计；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6、具有急融急冷功能，为临床特别设计，将用过冷却的蜡块放入箱托盘内，可直接急熔化后自动冷却制饼；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7、多区独立控制，蜡盘数量16盘，蜡饼厚度10mm～22mm可选，标准厚度为16mm，确保临床治疗效果；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8、设有超大观察窗和LED节能照明系统，方便随时观察实时蜡饼制作情况；</w:t>
      </w:r>
    </w:p>
    <w:p w:rsidR="007F60F0" w:rsidRP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9、具有空盘检测功能，自动识别各层托盘摆放</w:t>
      </w:r>
    </w:p>
    <w:p w:rsidR="007F60F0" w:rsidRDefault="007F60F0" w:rsidP="007F60F0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t>10、具有有效的医疗器械注册证。</w:t>
      </w:r>
    </w:p>
    <w:p w:rsidR="007F60F0" w:rsidRPr="007F60F0" w:rsidRDefault="007F60F0" w:rsidP="007F60F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F60F0">
        <w:rPr>
          <w:rFonts w:asciiTheme="majorEastAsia" w:eastAsiaTheme="majorEastAsia" w:hAnsiTheme="majorEastAsia" w:hint="eastAsia"/>
          <w:b/>
          <w:sz w:val="32"/>
          <w:szCs w:val="32"/>
        </w:rPr>
        <w:t>电脑中频治疗仪</w:t>
      </w:r>
    </w:p>
    <w:p w:rsidR="007F60F0" w:rsidRPr="007F60F0" w:rsidRDefault="007F60F0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7F60F0">
        <w:rPr>
          <w:rFonts w:asciiTheme="minorEastAsia" w:hAnsiTheme="minorEastAsia" w:hint="eastAsia"/>
          <w:bCs/>
          <w:sz w:val="24"/>
          <w:szCs w:val="24"/>
        </w:rPr>
        <w:lastRenderedPageBreak/>
        <w:t>内存99个处方</w:t>
      </w:r>
      <w:r w:rsidRPr="007F60F0">
        <w:rPr>
          <w:rFonts w:asciiTheme="minorEastAsia" w:hAnsiTheme="minorEastAsia"/>
          <w:bCs/>
          <w:sz w:val="24"/>
          <w:szCs w:val="24"/>
        </w:rPr>
        <w:t>；</w:t>
      </w:r>
    </w:p>
    <w:p w:rsidR="007F60F0" w:rsidRDefault="007F60F0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输出</w:t>
      </w:r>
      <w:r>
        <w:rPr>
          <w:rFonts w:asciiTheme="minorEastAsia" w:hAnsiTheme="minorEastAsia"/>
          <w:bCs/>
          <w:sz w:val="24"/>
          <w:szCs w:val="24"/>
        </w:rPr>
        <w:t>电流强度：</w:t>
      </w:r>
      <w:r>
        <w:rPr>
          <w:rFonts w:asciiTheme="minorEastAsia" w:hAnsiTheme="minorEastAsia" w:hint="eastAsia"/>
          <w:bCs/>
          <w:sz w:val="24"/>
          <w:szCs w:val="24"/>
        </w:rPr>
        <w:t>在500Ω</w:t>
      </w:r>
      <w:r>
        <w:rPr>
          <w:rFonts w:asciiTheme="minorEastAsia" w:hAnsiTheme="minorEastAsia"/>
          <w:bCs/>
          <w:sz w:val="24"/>
          <w:szCs w:val="24"/>
        </w:rPr>
        <w:t>的负载电阻下，输出电流不超过以下的限制：频率≤1500Hz，为</w:t>
      </w:r>
      <w:r>
        <w:rPr>
          <w:rFonts w:asciiTheme="minorEastAsia" w:hAnsiTheme="minorEastAsia" w:hint="eastAsia"/>
          <w:bCs/>
          <w:sz w:val="24"/>
          <w:szCs w:val="24"/>
        </w:rPr>
        <w:t>80</w:t>
      </w:r>
      <w:r>
        <w:rPr>
          <w:rFonts w:asciiTheme="minorEastAsia" w:hAnsiTheme="minorEastAsia"/>
          <w:bCs/>
          <w:sz w:val="24"/>
          <w:szCs w:val="24"/>
        </w:rPr>
        <w:t>mA（</w:t>
      </w:r>
      <w:r>
        <w:rPr>
          <w:rFonts w:asciiTheme="minorEastAsia" w:hAnsiTheme="minorEastAsia" w:hint="eastAsia"/>
          <w:bCs/>
          <w:sz w:val="24"/>
          <w:szCs w:val="24"/>
        </w:rPr>
        <w:t>r</w:t>
      </w:r>
      <w:r>
        <w:rPr>
          <w:rFonts w:asciiTheme="minorEastAsia" w:hAnsiTheme="minorEastAsia"/>
          <w:bCs/>
          <w:sz w:val="24"/>
          <w:szCs w:val="24"/>
        </w:rPr>
        <w:t>.m.s）</w:t>
      </w:r>
      <w:r>
        <w:rPr>
          <w:rFonts w:asciiTheme="minorEastAsia" w:hAnsiTheme="minorEastAsia" w:hint="eastAsia"/>
          <w:bCs/>
          <w:sz w:val="24"/>
          <w:szCs w:val="24"/>
        </w:rPr>
        <w:t>,</w:t>
      </w:r>
      <w:r>
        <w:rPr>
          <w:rFonts w:asciiTheme="minorEastAsia" w:hAnsiTheme="minorEastAsia"/>
          <w:bCs/>
          <w:sz w:val="24"/>
          <w:szCs w:val="24"/>
        </w:rPr>
        <w:t>频率＞</w:t>
      </w:r>
      <w:r>
        <w:rPr>
          <w:rFonts w:asciiTheme="minorEastAsia" w:hAnsiTheme="minorEastAsia" w:hint="eastAsia"/>
          <w:bCs/>
          <w:sz w:val="24"/>
          <w:szCs w:val="24"/>
        </w:rPr>
        <w:t>1500</w:t>
      </w:r>
      <w:r>
        <w:rPr>
          <w:rFonts w:asciiTheme="minorEastAsia" w:hAnsiTheme="minorEastAsia"/>
          <w:bCs/>
          <w:sz w:val="24"/>
          <w:szCs w:val="24"/>
        </w:rPr>
        <w:t>Hz为</w:t>
      </w:r>
      <w:r>
        <w:rPr>
          <w:rFonts w:asciiTheme="minorEastAsia" w:hAnsiTheme="minorEastAsia" w:hint="eastAsia"/>
          <w:bCs/>
          <w:sz w:val="24"/>
          <w:szCs w:val="24"/>
        </w:rPr>
        <w:t>100</w:t>
      </w:r>
      <w:r>
        <w:rPr>
          <w:rFonts w:asciiTheme="minorEastAsia" w:hAnsiTheme="minorEastAsia"/>
          <w:bCs/>
          <w:sz w:val="24"/>
          <w:szCs w:val="24"/>
        </w:rPr>
        <w:t>mA</w:t>
      </w:r>
      <w:r>
        <w:rPr>
          <w:rFonts w:asciiTheme="minorEastAsia" w:hAnsiTheme="minor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r</w:t>
      </w:r>
      <w:r>
        <w:rPr>
          <w:rFonts w:asciiTheme="minorEastAsia" w:hAnsiTheme="minorEastAsia"/>
          <w:bCs/>
          <w:sz w:val="24"/>
          <w:szCs w:val="24"/>
        </w:rPr>
        <w:t>.m.s）</w:t>
      </w:r>
      <w:r>
        <w:rPr>
          <w:rFonts w:asciiTheme="minorEastAsia" w:hAnsiTheme="minorEastAsia" w:hint="eastAsia"/>
          <w:bCs/>
          <w:sz w:val="24"/>
          <w:szCs w:val="24"/>
        </w:rPr>
        <w:t>;</w:t>
      </w:r>
    </w:p>
    <w:p w:rsidR="007F60F0" w:rsidRDefault="007F60F0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工作频率</w:t>
      </w:r>
      <w:r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kHz-12kHz，误差为±10%；</w:t>
      </w:r>
    </w:p>
    <w:p w:rsidR="007F60F0" w:rsidRDefault="007F60F0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输出通道</w:t>
      </w:r>
      <w:r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四路</w:t>
      </w:r>
      <w:r>
        <w:rPr>
          <w:rFonts w:asciiTheme="minorEastAsia" w:hAnsiTheme="minorEastAsia"/>
          <w:bCs/>
          <w:sz w:val="24"/>
          <w:szCs w:val="24"/>
        </w:rPr>
        <w:t>，输出电流独立可调；</w:t>
      </w:r>
    </w:p>
    <w:p w:rsidR="007F60F0" w:rsidRDefault="007F60F0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调制波形：</w:t>
      </w:r>
      <w:r>
        <w:rPr>
          <w:rFonts w:asciiTheme="minorEastAsia" w:hAnsiTheme="minorEastAsia"/>
          <w:bCs/>
          <w:sz w:val="24"/>
          <w:szCs w:val="24"/>
        </w:rPr>
        <w:t>方波、尖波、三角波、指数波、锯齿波、</w:t>
      </w:r>
      <w:r>
        <w:rPr>
          <w:rFonts w:asciiTheme="minorEastAsia" w:hAnsiTheme="minorEastAsia" w:hint="eastAsia"/>
          <w:bCs/>
          <w:sz w:val="24"/>
          <w:szCs w:val="24"/>
        </w:rPr>
        <w:t>正弦</w:t>
      </w:r>
      <w:r>
        <w:rPr>
          <w:rFonts w:asciiTheme="minorEastAsia" w:hAnsiTheme="minorEastAsia"/>
          <w:bCs/>
          <w:sz w:val="24"/>
          <w:szCs w:val="24"/>
        </w:rPr>
        <w:t>波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573589">
        <w:rPr>
          <w:rFonts w:asciiTheme="minorEastAsia" w:hAnsiTheme="minorEastAsia" w:hint="eastAsia"/>
          <w:bCs/>
          <w:sz w:val="24"/>
          <w:szCs w:val="24"/>
        </w:rPr>
        <w:t>等幅波</w:t>
      </w:r>
      <w:r w:rsidR="00573589">
        <w:rPr>
          <w:rFonts w:asciiTheme="minorEastAsia" w:hAnsiTheme="minorEastAsia"/>
          <w:bCs/>
          <w:sz w:val="24"/>
          <w:szCs w:val="24"/>
        </w:rPr>
        <w:t>、梯形波、扇形波、扇指波以及</w:t>
      </w:r>
      <w:r w:rsidR="00573589">
        <w:rPr>
          <w:rFonts w:asciiTheme="minorEastAsia" w:hAnsiTheme="minorEastAsia" w:hint="eastAsia"/>
          <w:bCs/>
          <w:sz w:val="24"/>
          <w:szCs w:val="24"/>
        </w:rPr>
        <w:t>他们</w:t>
      </w:r>
      <w:r w:rsidR="00573589">
        <w:rPr>
          <w:rFonts w:asciiTheme="minorEastAsia" w:hAnsiTheme="minorEastAsia"/>
          <w:bCs/>
          <w:sz w:val="24"/>
          <w:szCs w:val="24"/>
        </w:rPr>
        <w:t>的组合。</w:t>
      </w:r>
    </w:p>
    <w:p w:rsidR="00573589" w:rsidRDefault="00573589" w:rsidP="007F60F0">
      <w:pPr>
        <w:pStyle w:val="a5"/>
        <w:numPr>
          <w:ilvl w:val="0"/>
          <w:numId w:val="16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时间</w:t>
      </w:r>
      <w:r>
        <w:rPr>
          <w:rFonts w:asciiTheme="minorEastAsia" w:hAnsiTheme="minorEastAsia"/>
          <w:bCs/>
          <w:sz w:val="24"/>
          <w:szCs w:val="24"/>
        </w:rPr>
        <w:t>调节：</w:t>
      </w:r>
    </w:p>
    <w:p w:rsidR="00573589" w:rsidRDefault="00573589" w:rsidP="00573589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默认处方</w:t>
      </w:r>
      <w:r>
        <w:rPr>
          <w:rFonts w:asciiTheme="minorEastAsia" w:hAnsiTheme="minorEastAsia"/>
          <w:bCs/>
          <w:sz w:val="24"/>
          <w:szCs w:val="24"/>
        </w:rPr>
        <w:t>时间：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/>
          <w:bCs/>
          <w:sz w:val="24"/>
          <w:szCs w:val="24"/>
        </w:rPr>
        <w:t>min-40min，误差±10%</w:t>
      </w:r>
    </w:p>
    <w:p w:rsidR="00573589" w:rsidRPr="007F60F0" w:rsidRDefault="00573589" w:rsidP="00573589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时间</w:t>
      </w:r>
      <w:r>
        <w:rPr>
          <w:rFonts w:asciiTheme="minorEastAsia" w:hAnsiTheme="minorEastAsia"/>
          <w:bCs/>
          <w:sz w:val="24"/>
          <w:szCs w:val="24"/>
        </w:rPr>
        <w:t>可调功能：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min-99min，步进</w:t>
      </w:r>
      <w:r>
        <w:rPr>
          <w:rFonts w:asciiTheme="minorEastAsia" w:hAnsiTheme="minorEastAsia" w:hint="eastAsia"/>
          <w:bCs/>
          <w:sz w:val="24"/>
          <w:szCs w:val="24"/>
        </w:rPr>
        <w:t>1min</w:t>
      </w:r>
      <w:r>
        <w:rPr>
          <w:rFonts w:asciiTheme="minorEastAsia" w:hAnsiTheme="minorEastAsia"/>
          <w:bCs/>
          <w:sz w:val="24"/>
          <w:szCs w:val="24"/>
        </w:rPr>
        <w:t>，误差±10%。</w:t>
      </w:r>
      <w:bookmarkStart w:id="0" w:name="_GoBack"/>
      <w:bookmarkEnd w:id="0"/>
    </w:p>
    <w:p w:rsidR="007F60F0" w:rsidRDefault="007F60F0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:rsidR="007F60F0" w:rsidRPr="00310022" w:rsidRDefault="007F60F0" w:rsidP="00310022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</w:p>
    <w:sectPr w:rsidR="007F60F0" w:rsidRPr="0031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E9" w:rsidRDefault="006E20E9" w:rsidP="00E41CC4">
      <w:r>
        <w:separator/>
      </w:r>
    </w:p>
  </w:endnote>
  <w:endnote w:type="continuationSeparator" w:id="0">
    <w:p w:rsidR="006E20E9" w:rsidRDefault="006E20E9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E9" w:rsidRDefault="006E20E9" w:rsidP="00E41CC4">
      <w:r>
        <w:separator/>
      </w:r>
    </w:p>
  </w:footnote>
  <w:footnote w:type="continuationSeparator" w:id="0">
    <w:p w:rsidR="006E20E9" w:rsidRDefault="006E20E9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6438E7"/>
    <w:multiLevelType w:val="hybridMultilevel"/>
    <w:tmpl w:val="1BA83D16"/>
    <w:lvl w:ilvl="0" w:tplc="C9E4C6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A1254F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5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1"/>
  </w:num>
  <w:num w:numId="7">
    <w:abstractNumId w:val="15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30380"/>
    <w:rsid w:val="000E5293"/>
    <w:rsid w:val="0010686F"/>
    <w:rsid w:val="001536AC"/>
    <w:rsid w:val="0018299C"/>
    <w:rsid w:val="001F3069"/>
    <w:rsid w:val="00202A54"/>
    <w:rsid w:val="00244751"/>
    <w:rsid w:val="00310022"/>
    <w:rsid w:val="00356DE9"/>
    <w:rsid w:val="003A6CD4"/>
    <w:rsid w:val="00444053"/>
    <w:rsid w:val="0047766A"/>
    <w:rsid w:val="004D140A"/>
    <w:rsid w:val="004F38E9"/>
    <w:rsid w:val="0051223A"/>
    <w:rsid w:val="005614D8"/>
    <w:rsid w:val="00573589"/>
    <w:rsid w:val="005B50FC"/>
    <w:rsid w:val="006026A7"/>
    <w:rsid w:val="00652C54"/>
    <w:rsid w:val="00657181"/>
    <w:rsid w:val="00657284"/>
    <w:rsid w:val="006E20E9"/>
    <w:rsid w:val="00705DF6"/>
    <w:rsid w:val="00790985"/>
    <w:rsid w:val="00791607"/>
    <w:rsid w:val="007E4D47"/>
    <w:rsid w:val="007F60F0"/>
    <w:rsid w:val="0085007C"/>
    <w:rsid w:val="0086681C"/>
    <w:rsid w:val="00874542"/>
    <w:rsid w:val="008A7556"/>
    <w:rsid w:val="00906182"/>
    <w:rsid w:val="009279E6"/>
    <w:rsid w:val="00931B58"/>
    <w:rsid w:val="00931D0B"/>
    <w:rsid w:val="00943FBF"/>
    <w:rsid w:val="00981CE5"/>
    <w:rsid w:val="009D73A1"/>
    <w:rsid w:val="00A03323"/>
    <w:rsid w:val="00A633BC"/>
    <w:rsid w:val="00B04103"/>
    <w:rsid w:val="00B648D0"/>
    <w:rsid w:val="00BE644F"/>
    <w:rsid w:val="00BF6434"/>
    <w:rsid w:val="00C72187"/>
    <w:rsid w:val="00CF245B"/>
    <w:rsid w:val="00D0596D"/>
    <w:rsid w:val="00D225DC"/>
    <w:rsid w:val="00DC2AED"/>
    <w:rsid w:val="00DC5C70"/>
    <w:rsid w:val="00E115D9"/>
    <w:rsid w:val="00E1417D"/>
    <w:rsid w:val="00E41CC4"/>
    <w:rsid w:val="00E728EF"/>
    <w:rsid w:val="00EA7819"/>
    <w:rsid w:val="00F03FA9"/>
    <w:rsid w:val="00F0690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B04103"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3</cp:revision>
  <cp:lastPrinted>2021-08-03T00:52:00Z</cp:lastPrinted>
  <dcterms:created xsi:type="dcterms:W3CDTF">2022-03-28T01:33:00Z</dcterms:created>
  <dcterms:modified xsi:type="dcterms:W3CDTF">2022-03-28T01:57:00Z</dcterms:modified>
</cp:coreProperties>
</file>