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default" w:ascii="宋体" w:hAnsi="宋体" w:eastAsia="宋体" w:cs="宋体"/>
          <w:b/>
          <w:bCs/>
          <w:color w:val="auto"/>
          <w:sz w:val="28"/>
          <w:szCs w:val="28"/>
          <w:lang w:val="en-US" w:eastAsia="zh-CN"/>
        </w:rPr>
      </w:pPr>
      <w:r>
        <w:rPr>
          <w:rFonts w:hint="eastAsia" w:ascii="宋体" w:eastAsia="宋体" w:cs="宋体"/>
          <w:b/>
          <w:bCs/>
          <w:color w:val="auto"/>
          <w:sz w:val="28"/>
          <w:szCs w:val="28"/>
          <w:lang w:eastAsia="zh-CN"/>
        </w:rPr>
        <w:t>附件</w:t>
      </w:r>
      <w:r>
        <w:rPr>
          <w:rFonts w:hint="eastAsia" w:ascii="宋体" w:eastAsia="宋体" w:cs="宋体"/>
          <w:b/>
          <w:bCs/>
          <w:color w:val="auto"/>
          <w:sz w:val="28"/>
          <w:szCs w:val="28"/>
          <w:lang w:val="en-US" w:eastAsia="zh-CN"/>
        </w:rPr>
        <w:t>1：采购需求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一、基本需求</w:t>
      </w:r>
      <w:bookmarkStart w:id="0" w:name="_GoBack"/>
      <w:bookmarkEnd w:id="0"/>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1.1采购服务标准：</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1.1.1供应商应有能力做好售后服务工作和提供技术保障。供应商或响应产品制造商应设有专业的售后服务维修机构，有充足的零件储备和能力相当的技术服务人员，并保证响应产品停产后的备件供应，响应时须提供有关其响应产品专业的售后服务（维修站）的信息，包括售后服务机构名称、服务人员的数量和水平、联系人和联系方式、零备件的储备等。质量保证期内的免费售后维修及服务包括所有响应产品及配件，并含第三方产品，同时供应商应定期对所有响应产品提供维护保养服务。</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1.1.2供应商发运货物时，每台设备要提供一整套中文的技术资料，包括安装、操作手册、使用说明、维修保养手册、电路图、零配件清单等。</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1.1.3供应商应保证在接到通知的一周内，在指定所在地对设备进行安装、调试和试运行，直到该产品的技术指标完全符合合同要求为止。供应商安装人员应自备必要的专用工具、量具及调试用的材料等。</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1.1.3.1供应商应负责响应货物质量保证期内的免费维修和配件供应，供应商售后服务维修机构应备有所购货物及时维修所需的关键零部件。</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1.1.3.2供应商应保证在质量保证期内提供设备专用的软件和相应数据库资料的免费升级服务。</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1.1.3.3在合同执行期和质量保证期内响应人必须在1小时内对采购人所提出的维修要求做出实质性反应，及时解决系统运行中的问题。系统运行过程中如果发生故障，对故障的恢复时间不能超过48小时。</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二、服务要求</w:t>
      </w:r>
    </w:p>
    <w:p>
      <w:pPr>
        <w:spacing w:before="156" w:beforeLines="50" w:after="156" w:afterLines="50" w:line="360" w:lineRule="auto"/>
        <w:ind w:left="67" w:leftChars="24" w:firstLine="280" w:firstLineChars="100"/>
        <w:rPr>
          <w:rFonts w:hint="eastAsia" w:ascii="宋体" w:hAnsi="宋体" w:eastAsia="宋体" w:cs="宋体"/>
        </w:rPr>
      </w:pPr>
      <w:r>
        <w:rPr>
          <w:rFonts w:hint="eastAsia" w:ascii="宋体" w:hAnsi="宋体" w:eastAsia="宋体" w:cs="宋体"/>
        </w:rPr>
        <w:t>2.1自设备安装、调试、验收合格之日起，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质量保证期满，供应商为医院提供终身保修有偿服务。</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三、安检设备购置数量</w:t>
      </w:r>
    </w:p>
    <w:tbl>
      <w:tblPr>
        <w:tblStyle w:val="4"/>
        <w:tblW w:w="6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ind w:firstLine="0"/>
              <w:jc w:val="center"/>
              <w:rPr>
                <w:rFonts w:hint="eastAsia" w:ascii="宋体" w:hAnsi="宋体" w:eastAsia="宋体" w:cs="宋体"/>
              </w:rPr>
            </w:pPr>
            <w:r>
              <w:rPr>
                <w:rFonts w:hint="eastAsia" w:ascii="宋体" w:hAnsi="宋体" w:eastAsia="宋体" w:cs="宋体"/>
              </w:rPr>
              <w:t>设备名称</w:t>
            </w:r>
          </w:p>
        </w:tc>
        <w:tc>
          <w:tcPr>
            <w:tcW w:w="2129" w:type="dxa"/>
            <w:tcBorders>
              <w:top w:val="single" w:color="auto" w:sz="4" w:space="0"/>
              <w:left w:val="nil"/>
              <w:bottom w:val="single" w:color="auto" w:sz="4" w:space="0"/>
              <w:right w:val="single" w:color="auto" w:sz="4" w:space="0"/>
            </w:tcBorders>
            <w:shd w:val="clear" w:color="auto" w:fill="auto"/>
            <w:vAlign w:val="center"/>
          </w:tcPr>
          <w:p>
            <w:pPr>
              <w:pStyle w:val="5"/>
              <w:ind w:firstLine="0"/>
              <w:jc w:val="center"/>
              <w:rPr>
                <w:rFonts w:hint="eastAsia" w:ascii="宋体" w:hAnsi="宋体" w:eastAsia="宋体" w:cs="宋体"/>
              </w:rPr>
            </w:pPr>
            <w:r>
              <w:rPr>
                <w:rFonts w:hint="eastAsia" w:ascii="宋体" w:hAnsi="宋体" w:eastAsia="宋体" w:cs="宋体"/>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ind w:firstLine="0"/>
              <w:jc w:val="center"/>
              <w:rPr>
                <w:rFonts w:hint="default" w:ascii="宋体" w:hAnsi="宋体" w:eastAsia="宋体" w:cs="宋体"/>
                <w:lang w:val="en-US" w:eastAsia="zh-CN"/>
              </w:rPr>
            </w:pPr>
            <w:r>
              <w:rPr>
                <w:rFonts w:hint="eastAsia" w:cs="宋体"/>
                <w:lang w:eastAsia="zh-CN"/>
              </w:rPr>
              <w:t>安检</w:t>
            </w:r>
            <w:r>
              <w:rPr>
                <w:rFonts w:hint="eastAsia" w:cs="宋体"/>
                <w:lang w:val="en-US" w:eastAsia="zh-CN"/>
              </w:rPr>
              <w:t>X光机</w:t>
            </w:r>
          </w:p>
        </w:tc>
        <w:tc>
          <w:tcPr>
            <w:tcW w:w="2129" w:type="dxa"/>
            <w:tcBorders>
              <w:top w:val="single" w:color="auto" w:sz="4" w:space="0"/>
              <w:left w:val="nil"/>
              <w:bottom w:val="single" w:color="auto" w:sz="4" w:space="0"/>
              <w:right w:val="single" w:color="auto" w:sz="4" w:space="0"/>
            </w:tcBorders>
            <w:shd w:val="clear" w:color="auto" w:fill="auto"/>
            <w:vAlign w:val="center"/>
          </w:tcPr>
          <w:p>
            <w:pPr>
              <w:pStyle w:val="5"/>
              <w:ind w:firstLine="0"/>
              <w:jc w:val="center"/>
              <w:rPr>
                <w:rFonts w:hint="eastAsia" w:ascii="宋体" w:hAnsi="宋体" w:eastAsia="宋体" w:cs="宋体"/>
                <w:lang w:eastAsia="zh-CN"/>
              </w:rPr>
            </w:pPr>
            <w:r>
              <w:rPr>
                <w:rFonts w:hint="eastAsia" w:ascii="宋体" w:hAnsi="宋体" w:eastAsia="宋体" w:cs="宋体"/>
              </w:rPr>
              <w:t>1</w:t>
            </w:r>
            <w:r>
              <w:rPr>
                <w:rFonts w:hint="eastAsia" w:cs="宋体"/>
                <w:lang w:eastAsia="zh-CN"/>
              </w:rPr>
              <w:t>台</w:t>
            </w:r>
          </w:p>
        </w:tc>
      </w:tr>
    </w:tbl>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四、设备参数要求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4.1总体要求</w:t>
      </w:r>
    </w:p>
    <w:p>
      <w:pPr>
        <w:spacing w:line="360" w:lineRule="auto"/>
        <w:rPr>
          <w:rFonts w:hint="eastAsia" w:ascii="宋体" w:hAnsi="宋体" w:eastAsia="宋体" w:cs="宋体"/>
        </w:rPr>
      </w:pPr>
      <w:r>
        <w:rPr>
          <w:rFonts w:hint="eastAsia" w:ascii="宋体" w:hAnsi="宋体" w:eastAsia="宋体" w:cs="宋体"/>
          <w:lang w:val="en-US" w:eastAsia="zh-CN"/>
        </w:rPr>
        <w:t>4.1.</w:t>
      </w:r>
      <w:r>
        <w:rPr>
          <w:rFonts w:hint="eastAsia" w:ascii="宋体" w:eastAsia="宋体" w:cs="宋体"/>
          <w:lang w:val="en-US" w:eastAsia="zh-CN"/>
        </w:rPr>
        <w:t>1</w:t>
      </w:r>
      <w:r>
        <w:rPr>
          <w:rFonts w:hint="eastAsia" w:ascii="宋体" w:hAnsi="宋体" w:eastAsia="宋体" w:cs="宋体"/>
        </w:rPr>
        <w:t>设备应持有依据GB 15210-2018标准，国家安全防范报警系统产品质量监督检验中心的有效检测报告。</w:t>
      </w:r>
    </w:p>
    <w:p>
      <w:pPr>
        <w:spacing w:line="360" w:lineRule="auto"/>
        <w:rPr>
          <w:rFonts w:hint="eastAsia" w:ascii="宋体" w:hAnsi="宋体" w:eastAsia="宋体" w:cs="宋体"/>
          <w:szCs w:val="28"/>
        </w:rPr>
      </w:pPr>
      <w:r>
        <w:rPr>
          <w:rFonts w:hint="eastAsia" w:ascii="宋体" w:hAnsi="宋体" w:eastAsia="宋体" w:cs="宋体"/>
          <w:szCs w:val="28"/>
        </w:rPr>
        <w:t>4.</w:t>
      </w:r>
      <w:r>
        <w:rPr>
          <w:rFonts w:hint="eastAsia" w:ascii="宋体" w:hAnsi="宋体" w:eastAsia="宋体" w:cs="宋体"/>
          <w:szCs w:val="28"/>
          <w:lang w:val="en-US" w:eastAsia="zh-CN"/>
        </w:rPr>
        <w:t>1.</w:t>
      </w:r>
      <w:r>
        <w:rPr>
          <w:rFonts w:hint="eastAsia" w:ascii="宋体" w:eastAsia="宋体" w:cs="宋体"/>
          <w:szCs w:val="28"/>
          <w:lang w:val="en-US" w:eastAsia="zh-CN"/>
        </w:rPr>
        <w:t>2</w:t>
      </w:r>
      <w:r>
        <w:rPr>
          <w:rFonts w:hint="eastAsia" w:ascii="宋体" w:hAnsi="宋体" w:eastAsia="宋体" w:cs="宋体"/>
          <w:szCs w:val="28"/>
        </w:rPr>
        <w:t>设备应是经过工程验证或权威机构认可的高可靠性成熟产品，设备性能稳定，质量可靠，平均使用寿命达5年以上，关键部件（包括射线发射器、探测晶体、滚筒电机等）无需定期更换。</w:t>
      </w:r>
    </w:p>
    <w:p>
      <w:pPr>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3</w:t>
      </w:r>
      <w:r>
        <w:rPr>
          <w:rFonts w:hint="eastAsia" w:ascii="宋体" w:hAnsi="宋体" w:eastAsia="宋体" w:cs="宋体"/>
          <w:szCs w:val="28"/>
        </w:rPr>
        <w:t>设备应提供环保部门出具的辐射安全许可证。</w:t>
      </w:r>
    </w:p>
    <w:p>
      <w:pPr>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4</w:t>
      </w:r>
      <w:r>
        <w:rPr>
          <w:rFonts w:hint="eastAsia" w:ascii="宋体" w:hAnsi="宋体" w:eastAsia="宋体" w:cs="宋体"/>
          <w:szCs w:val="28"/>
        </w:rPr>
        <w:t>设备界面应提供全中文或图形界面。</w:t>
      </w:r>
    </w:p>
    <w:p>
      <w:pPr>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5</w:t>
      </w:r>
      <w:r>
        <w:rPr>
          <w:rFonts w:hint="eastAsia" w:ascii="宋体" w:hAnsi="宋体" w:eastAsia="宋体" w:cs="宋体"/>
          <w:szCs w:val="28"/>
        </w:rPr>
        <w:t>设备应持有依据国家安全防范报警系统产品质量监督检验中心的有效检测报告。</w:t>
      </w:r>
    </w:p>
    <w:p>
      <w:pPr>
        <w:tabs>
          <w:tab w:val="left" w:pos="0"/>
        </w:tabs>
        <w:autoSpaceDE w:val="0"/>
        <w:autoSpaceDN w:val="0"/>
        <w:adjustRightInd w:val="0"/>
        <w:spacing w:line="360" w:lineRule="auto"/>
        <w:rPr>
          <w:rFonts w:hint="eastAsia" w:ascii="宋体" w:hAnsi="宋体" w:eastAsia="宋体" w:cs="宋体"/>
        </w:rPr>
      </w:pPr>
      <w:r>
        <w:rPr>
          <w:rFonts w:hint="eastAsia" w:ascii="宋体" w:hAnsi="宋体" w:eastAsia="宋体" w:cs="宋体"/>
          <w:szCs w:val="28"/>
        </w:rPr>
        <w:t>4.1.</w:t>
      </w:r>
      <w:r>
        <w:rPr>
          <w:rFonts w:hint="eastAsia" w:ascii="宋体" w:eastAsia="宋体" w:cs="宋体"/>
          <w:szCs w:val="28"/>
          <w:lang w:val="en-US" w:eastAsia="zh-CN"/>
        </w:rPr>
        <w:t xml:space="preserve">6 </w:t>
      </w:r>
      <w:r>
        <w:rPr>
          <w:rFonts w:hint="eastAsia" w:ascii="宋体" w:hAnsi="宋体" w:eastAsia="宋体" w:cs="宋体"/>
          <w:szCs w:val="28"/>
        </w:rPr>
        <w:t>适用于北京地区环境气候，在极端气候情况下能保证正常运行。</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4.2主要技术要求</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 xml:space="preserve">4.2.1  </w:t>
      </w:r>
      <w:r>
        <w:rPr>
          <w:rFonts w:hint="eastAsia" w:ascii="宋体" w:eastAsia="宋体" w:cs="宋体"/>
          <w:b/>
          <w:bCs/>
          <w:lang w:eastAsia="zh-CN"/>
        </w:rPr>
        <w:t>参数要求</w:t>
      </w:r>
      <w:r>
        <w:rPr>
          <w:rFonts w:hint="eastAsia" w:ascii="宋体" w:hAnsi="宋体" w:eastAsia="宋体" w:cs="宋体"/>
          <w:b/>
          <w:bCs/>
        </w:rPr>
        <w:t xml:space="preserve"> </w:t>
      </w:r>
    </w:p>
    <w:tbl>
      <w:tblPr>
        <w:tblStyle w:val="4"/>
        <w:tblW w:w="8409" w:type="dxa"/>
        <w:tblInd w:w="113" w:type="dxa"/>
        <w:tblLayout w:type="fixed"/>
        <w:tblCellMar>
          <w:top w:w="0" w:type="dxa"/>
          <w:left w:w="108" w:type="dxa"/>
          <w:bottom w:w="0" w:type="dxa"/>
          <w:right w:w="108" w:type="dxa"/>
        </w:tblCellMar>
      </w:tblPr>
      <w:tblGrid>
        <w:gridCol w:w="496"/>
        <w:gridCol w:w="7913"/>
      </w:tblGrid>
      <w:tr>
        <w:tblPrEx>
          <w:tblLayout w:type="fixed"/>
          <w:tblCellMar>
            <w:top w:w="0" w:type="dxa"/>
            <w:left w:w="108" w:type="dxa"/>
            <w:bottom w:w="0" w:type="dxa"/>
            <w:right w:w="108" w:type="dxa"/>
          </w:tblCellMar>
        </w:tblPrEx>
        <w:trPr>
          <w:trHeight w:val="321" w:hRule="atLeast"/>
        </w:trPr>
        <w:tc>
          <w:tcPr>
            <w:tcW w:w="4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w:t>
            </w:r>
          </w:p>
        </w:tc>
        <w:tc>
          <w:tcPr>
            <w:tcW w:w="79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通道尺寸：≥650mm×500mm（宽×高）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2</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highlight w:val="none"/>
              </w:rPr>
              <w:t>外形尺寸：≤</w:t>
            </w:r>
            <w:r>
              <w:rPr>
                <w:rFonts w:hint="eastAsia" w:ascii="宋体" w:hAnsi="宋体" w:eastAsia="宋体" w:cs="宋体"/>
                <w:highlight w:val="none"/>
                <w:lang w:val="en-US" w:eastAsia="zh-CN"/>
              </w:rPr>
              <w:t>2454mm*1419mm*1376mm</w:t>
            </w:r>
            <w:r>
              <w:rPr>
                <w:rFonts w:hint="eastAsia" w:ascii="宋体" w:hAnsi="宋体" w:eastAsia="宋体" w:cs="宋体"/>
                <w:highlight w:val="none"/>
              </w:rPr>
              <w:t>（长×宽×高）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3</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传送带高度：≤700mm</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4</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设备应采用单源多能量X射线检查技术，能够准确识别有机物、无机物和混合物。</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5</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外壳防护等级应符合GB/T 4208-2017的规定，不低于IP20的要求</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6</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图像存储功能：设备应具有图像实时存储功能，并能支持扩展，保存图像应包含图像生成时间、操作员ID、设备ID、疑似危险品名称等信息，并可将疑似危险品报警信息同X光机过包图像同步保存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7</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8</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用户登录功能：设备应具有用户注册、冻结、编辑和删除功能，同时具备密码、指纹录入、编辑和登录功能</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9</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人包关联功能：设备能将X光机入口处的人脸该包裹的X射线图像关联保存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10</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有效材料分辨：设备在0.3m/s速度下正常工作时，应能分辨1.5 mm、2.0 mm和2.5 mm三种厚度钢板后面的、具有不同等效原子序数的三种材料样本，并分别赋予绿色和蓝色；应能分辨GB 15208.2-2018附录A中的测试体B中测试卡10中9个区域中的6个区域</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rPr>
            </w:pPr>
            <w:r>
              <w:rPr>
                <w:rFonts w:hint="eastAsia" w:ascii="宋体" w:hAnsi="宋体" w:eastAsia="宋体" w:cs="宋体"/>
              </w:rPr>
              <w:t>11</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X射线图像信噪比（SNR）大于等于40dB</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12</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输送带正反向运转位移：设备在0.3m/s速度下正常工作时，输送带正向连续运转10min内，横向位移均应小于等于1mm；输送带反向连续运转30s内，横向位移均应小于等于1mm</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13</w:t>
            </w:r>
          </w:p>
        </w:tc>
        <w:tc>
          <w:tcPr>
            <w:tcW w:w="79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rPr>
              <w:t>疑似危险品识别功能：应可对以下可疑物品进行识别并以红色方框框选，发出文字和语音提示：</w:t>
            </w:r>
            <w:r>
              <w:rPr>
                <w:rFonts w:hint="eastAsia" w:ascii="宋体" w:hAnsi="宋体" w:eastAsia="宋体" w:cs="宋体"/>
              </w:rPr>
              <w:br w:type="textWrapping"/>
            </w:r>
            <w:r>
              <w:rPr>
                <w:rFonts w:hint="eastAsia" w:ascii="宋体" w:hAnsi="宋体" w:eastAsia="宋体" w:cs="宋体"/>
              </w:rPr>
              <w:t>1.塑料瓶装二甲苯（500mL塑料瓶）</w:t>
            </w:r>
            <w:r>
              <w:rPr>
                <w:rFonts w:hint="eastAsia" w:ascii="宋体" w:hAnsi="宋体" w:eastAsia="宋体" w:cs="宋体"/>
              </w:rPr>
              <w:br w:type="textWrapping"/>
            </w:r>
            <w:r>
              <w:rPr>
                <w:rFonts w:hint="eastAsia" w:ascii="宋体" w:hAnsi="宋体" w:eastAsia="宋体" w:cs="宋体"/>
              </w:rPr>
              <w:t>2.塑料瓶装酒精（550mL农夫山泉）</w:t>
            </w:r>
            <w:r>
              <w:rPr>
                <w:rFonts w:hint="eastAsia" w:ascii="宋体" w:hAnsi="宋体" w:eastAsia="宋体" w:cs="宋体"/>
              </w:rPr>
              <w:br w:type="textWrapping"/>
            </w:r>
            <w:r>
              <w:rPr>
                <w:rFonts w:hint="eastAsia" w:ascii="宋体" w:hAnsi="宋体" w:eastAsia="宋体" w:cs="宋体"/>
              </w:rPr>
              <w:t>3.塑料瓶装煤油（550mL农夫山泉）</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14</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穿透力：设备在0.3m/s速度下正常工作时，能够穿透不小于46mm厚的钢板</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15</w:t>
            </w:r>
          </w:p>
        </w:tc>
        <w:tc>
          <w:tcPr>
            <w:tcW w:w="79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rPr>
              <w:t>负载能力：设备的输送装置负载能力应大于等于250kg</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16</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电源：220VAC(-15%~±10%)  50±3Hz</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17</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工作温度/湿度：0℃~45℃；10%至90%(在不凝结水滴状态下)</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rPr>
            </w:pPr>
            <w:r>
              <w:rPr>
                <w:rFonts w:hint="eastAsia" w:ascii="宋体" w:hAnsi="宋体" w:eastAsia="宋体" w:cs="宋体"/>
              </w:rPr>
              <w:t>18</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功耗：≤0.8kVA</w:t>
            </w:r>
          </w:p>
        </w:tc>
      </w:tr>
    </w:tbl>
    <w:p>
      <w:pPr>
        <w:rPr>
          <w:rFonts w:hint="eastAsia" w:ascii="宋体" w:hAnsi="宋体" w:eastAsia="宋体" w:cs="宋体"/>
          <w:b/>
          <w:bCs/>
          <w:szCs w:val="28"/>
        </w:rPr>
      </w:pPr>
      <w:r>
        <w:rPr>
          <w:rFonts w:hint="eastAsia" w:ascii="宋体" w:hAnsi="宋体" w:eastAsia="宋体" w:cs="宋体"/>
          <w:b/>
          <w:bCs/>
          <w:szCs w:val="28"/>
        </w:rPr>
        <w:t>4.2.</w:t>
      </w:r>
      <w:r>
        <w:rPr>
          <w:rFonts w:hint="eastAsia" w:ascii="宋体" w:hAnsi="宋体" w:eastAsia="宋体" w:cs="宋体"/>
          <w:b/>
          <w:bCs/>
          <w:szCs w:val="28"/>
          <w:lang w:val="en-US" w:eastAsia="zh-CN"/>
        </w:rPr>
        <w:t>2</w:t>
      </w:r>
      <w:r>
        <w:rPr>
          <w:rFonts w:hint="eastAsia" w:ascii="宋体" w:hAnsi="宋体" w:eastAsia="宋体" w:cs="宋体"/>
          <w:b/>
          <w:bCs/>
          <w:szCs w:val="28"/>
        </w:rPr>
        <w:t>主要性能与功能要求</w:t>
      </w:r>
    </w:p>
    <w:p>
      <w:pPr>
        <w:pStyle w:val="6"/>
        <w:numPr>
          <w:ilvl w:val="0"/>
          <w:numId w:val="1"/>
        </w:numPr>
        <w:spacing w:line="360" w:lineRule="auto"/>
        <w:ind w:firstLineChars="0"/>
        <w:rPr>
          <w:rFonts w:hint="eastAsia" w:ascii="宋体" w:hAnsi="宋体" w:eastAsia="宋体" w:cs="宋体"/>
          <w:szCs w:val="28"/>
        </w:rPr>
      </w:pPr>
      <w:r>
        <w:rPr>
          <w:rFonts w:hint="eastAsia" w:ascii="宋体" w:hAnsi="宋体" w:eastAsia="宋体" w:cs="宋体"/>
          <w:szCs w:val="28"/>
        </w:rPr>
        <w:t>辐射安全要求，应符合国家标准。</w:t>
      </w:r>
    </w:p>
    <w:p>
      <w:pPr>
        <w:pStyle w:val="6"/>
        <w:numPr>
          <w:ilvl w:val="0"/>
          <w:numId w:val="1"/>
        </w:numPr>
        <w:spacing w:line="360" w:lineRule="auto"/>
        <w:ind w:firstLineChars="0"/>
        <w:rPr>
          <w:rFonts w:hint="eastAsia" w:ascii="宋体" w:hAnsi="宋体" w:eastAsia="宋体" w:cs="宋体"/>
          <w:szCs w:val="28"/>
        </w:rPr>
      </w:pPr>
      <w:r>
        <w:rPr>
          <w:rFonts w:hint="eastAsia" w:ascii="宋体" w:hAnsi="宋体" w:eastAsia="宋体" w:cs="宋体"/>
          <w:szCs w:val="28"/>
        </w:rPr>
        <w:t>设备在操作员方便操作的位置应设有紧急停止开关，紧急停止开关上应加防护罩，防止误操作。当发生紧急情况时，按下开关应能够立即停车运动。</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设备应具有维护诊断的基本功能，方便查找故障。</w:t>
      </w:r>
    </w:p>
    <w:p>
      <w:pPr>
        <w:pStyle w:val="2"/>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能够实现平台联网</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支持通过X射线的穿透能力实现对行李、货物进行快速不开箱检查的新型安检设备。</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全数字安检机，全数字信号传输处理，抗干扰能力强、图像清晰，强穿透力、高分辨力、强大物质识别功能。</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高效防辐射：采用双层错缝布置耐磨、结实的铅帘，超厚2-5mm铅板确保设备安全可靠。</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防夹手装置：通道进出口的皮带下方、通道两侧及接物架独特防夹手设计，安全可靠。</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优质皮带：输送带表面钻石纹面印花，耐切割、耐刮花；3mm厚度更耐拉伸、不易变形；表面防静电处理，使用时不易被污染。</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具有故障自检功能，出现故障时自动判断，及时给出提示故障代码信息具有彩色/黑白、局增、高穿、低穿、超增、有机物剔除、无机物剔除、反色、加亮、减暗、灰扫、放大、伪彩、有机物增强、可疑物品报警标记、边缘增强处理功能。</w:t>
      </w:r>
    </w:p>
    <w:p>
      <w:pPr>
        <w:pStyle w:val="6"/>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可通过诊断界面对设备关键性元器件进行诊断，元器件包括探测器、电机正反转、红外传感器、专用键盘等。</w:t>
      </w:r>
    </w:p>
    <w:p>
      <w:pPr>
        <w:widowControl/>
        <w:jc w:val="right"/>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24F3"/>
    <w:multiLevelType w:val="multilevel"/>
    <w:tmpl w:val="42D824F3"/>
    <w:lvl w:ilvl="0" w:tentative="0">
      <w:start w:val="1"/>
      <w:numFmt w:val="lowerLetter"/>
      <w:lvlText w:val="%1)"/>
      <w:lvlJc w:val="left"/>
      <w:pPr>
        <w:ind w:left="426" w:hanging="420"/>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zc2NjRmY2JmZDRkMTRlYTg0M2Y0ZjkzZjlhYmEifQ=="/>
  </w:docVars>
  <w:rsids>
    <w:rsidRoot w:val="546168F8"/>
    <w:rsid w:val="08C511B9"/>
    <w:rsid w:val="0CF354CA"/>
    <w:rsid w:val="0CF61FB3"/>
    <w:rsid w:val="15D96805"/>
    <w:rsid w:val="2091237A"/>
    <w:rsid w:val="2298319B"/>
    <w:rsid w:val="2AFD7369"/>
    <w:rsid w:val="30063D65"/>
    <w:rsid w:val="321A433D"/>
    <w:rsid w:val="34D767B4"/>
    <w:rsid w:val="39953A8F"/>
    <w:rsid w:val="3FA64167"/>
    <w:rsid w:val="546168F8"/>
    <w:rsid w:val="587753D7"/>
    <w:rsid w:val="5A7B6CD4"/>
    <w:rsid w:val="66D831F9"/>
    <w:rsid w:val="6BF6265F"/>
    <w:rsid w:val="6F80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宋体" w:eastAsia="仿宋" w:cs="Times New Roman"/>
      <w:color w:val="000000"/>
      <w:sz w:val="28"/>
      <w:szCs w:val="28"/>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customStyle="1" w:styleId="5">
    <w:name w:val="*正文"/>
    <w:basedOn w:val="1"/>
    <w:qFormat/>
    <w:uiPriority w:val="0"/>
    <w:pPr>
      <w:spacing w:line="360" w:lineRule="auto"/>
      <w:ind w:firstLine="482"/>
    </w:pPr>
    <w:rPr>
      <w:rFonts w:ascii="宋体" w:eastAsia="宋体"/>
      <w:color w:val="auto"/>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2348</Words>
  <Characters>2596</Characters>
  <Lines>0</Lines>
  <Paragraphs>0</Paragraphs>
  <TotalTime>21</TotalTime>
  <ScaleCrop>false</ScaleCrop>
  <LinksUpToDate>false</LinksUpToDate>
  <CharactersWithSpaces>2616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2022-09-14T02:13:00Z</dcterms:created>
  <dc:creator>Administrator</dc:creator>
  <cp:lastModifiedBy>Administrator</cp:lastModifiedBy>
  <dcterms:modified xsi:type="dcterms:W3CDTF">2022-09-20T01:57:52Z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5F11E3FC63534C8DBBCF20DDCB8827A7</vt:lpwstr>
  </property>
</Properties>
</file>