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附件2：北京中医药大学东直门医院（通州院区）疫情防控漏点加装监控项目招标需求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项目需求：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新增监控点位17个，位置如下：</w:t>
      </w:r>
    </w:p>
    <w:tbl>
      <w:tblPr>
        <w:tblStyle w:val="3"/>
        <w:tblW w:w="7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3533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位置</w:t>
            </w:r>
          </w:p>
        </w:tc>
        <w:tc>
          <w:tcPr>
            <w:tcW w:w="3533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监控安装位置</w:t>
            </w:r>
          </w:p>
        </w:tc>
        <w:tc>
          <w:tcPr>
            <w:tcW w:w="2050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restart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室外</w:t>
            </w: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发热门诊一脱区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发热门诊二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脱区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发热门诊大厅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医疗废物暂存处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restart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室内一期</w:t>
            </w: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三楼PCR实验室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急诊预检分诊台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restart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室内二期</w:t>
            </w: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三楼B区护士站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三楼C区护士站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四楼A区护士站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四楼B区护士站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四楼C区护士站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continue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五楼B区护士站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Align w:val="center"/>
          </w:tcPr>
          <w:p>
            <w:pPr>
              <w:pStyle w:val="5"/>
              <w:jc w:val="center"/>
              <w:rPr>
                <w:rFonts w:cs="宋体"/>
                <w:sz w:val="24"/>
                <w:szCs w:val="24"/>
                <w:lang w:val="en-US"/>
              </w:rPr>
            </w:pPr>
            <w:r>
              <w:rPr>
                <w:rFonts w:hint="eastAsia" w:cs="宋体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35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17个</w:t>
            </w:r>
          </w:p>
        </w:tc>
      </w:tr>
    </w:tbl>
    <w:p>
      <w:pPr>
        <w:rPr>
          <w:sz w:val="28"/>
          <w:szCs w:val="28"/>
        </w:rPr>
      </w:pPr>
    </w:p>
    <w:p>
      <w:pPr>
        <w:numPr>
          <w:ilvl w:val="0"/>
          <w:numId w:val="1"/>
        </w:num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含供货、施工、安装调试，及施工、安装所需要的所有配件；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所有硬件设备需质保2年；</w:t>
      </w:r>
    </w:p>
    <w:p>
      <w:pPr>
        <w:numPr>
          <w:ilvl w:val="0"/>
          <w:numId w:val="1"/>
        </w:num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提供现有3台监控设备移机和1台监控设备安装服务。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5、项目具体参数及需求如下：</w:t>
      </w:r>
    </w:p>
    <w:tbl>
      <w:tblPr>
        <w:tblStyle w:val="2"/>
        <w:tblpPr w:leftFromText="180" w:rightFromText="180" w:vertAnchor="text" w:horzAnchor="page" w:tblpX="1800" w:tblpY="3648"/>
        <w:tblOverlap w:val="never"/>
        <w:tblW w:w="8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39"/>
        <w:gridCol w:w="6133"/>
        <w:gridCol w:w="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5.1室外监控安装需求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球型摄像机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传感器类型：1/2.8英寸CMOS；像素：400万；最大分辨率：1920×1080；最低照度：彩色：0.005Lux@F1.6黑白：0.0005Lux@F1.60Lux（红外灯开启）；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最大补光距离：150m（红外）；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镜头焦距：5.0mm~115mm；光学变倍：23倍；可视域功能：支持；通用行为分析：支持绊线入侵；支持区域入侵；支持穿越围栏；支持徘徊检测；支持物品遗留；支持物品搬移；支持快速移动；支持停车检测；支持人员聚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防抖功能：电子防抖；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透雾功能：电子透雾；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枪型摄像机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技术要求：动态范围≥120dB。（提供公安部有效检测报告复印件加盖原厂公章或投标专用章）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术要求：在样机切换至黑白模式，红外灯开启下进行车辆号牌识别功能。（提供公安部有效检测报告复印件加盖原厂公章或投标专用章）在样机切换至黑白模式，红外灯开启下进行车辆图像捕获及跟踪，车辆捕获率不低于95%。（提供公安部有效检测报告复印件加盖原厂公章或投标专用章）支持抓拍图片分辨率设置，全景图和小图分辨率可单独设置。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支持车流量统计查询，包括机动车流量统计、非机动车流量统计，支持形成柱状图、折线图并导出。（提供公安部有效检测报告复印件加盖原厂公章或投标专用章）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尺寸1/1.8英寸、像元尺寸2.9um×2.9um、内置1颗GPU芯片（提供公安部有效检测报告复印件加盖原厂公章或投标专用章）支持人脸属性识别功能，包括年龄、性别、戴眼镜、表情、胡子、戴口罩、戴帽子多种属性。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在视频结构化模式下可输出抓拍图片：抓拍图片可分为场景图、人脸图、人体图、非机动车图、机动车图、车牌图；人脸图和人体图可关联存储，非机动车图和人脸图可关联存储，机动车图和车牌图可关联存储，支持通过IE浏览器或客户端检索并查看存储的图片。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智能分析行为达到设定的阀值时,可通过客 户端软件或IE浏览器给出报警提示. a)绊线入侵; b)区域入侵; c)物品遗留; d)物品消失; c)徘徊检测; f)非法停车; 8)快速移动; h)人员聚集; 1)进入区域; j)离开区域; k)逆行; l)攀高 m)平躺起身 n)离岗 样机支持行为分析出发后联动抓图、录像、目标 跟踪、报警上传、发送邮件、辅助输出等多种报警触 发方式（提供公安部有效检测报告复印件加盖原厂公章或投标专用章）                            配支架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监视器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46寸液晶高清监控专用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硬盘录像机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4盘位主机（含硬盘）、存储90天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室外光缆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国标单模光缆12芯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光纤配线架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国产12口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室外主干电源线缆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RVV3*4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六类网线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国标六类非屏蔽网线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摄像机电源线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RVV2*1.5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监控专用交换机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千兆8口交换机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5.11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室外路面破损及恢复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因安装监控对路面及建筑物造成开挖、破损、穿线、穿管等辅材辅料及路面和周边恢复，全部包含在此报价内。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</w:p>
        </w:tc>
      </w:tr>
    </w:tbl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tbl>
      <w:tblPr>
        <w:tblStyle w:val="2"/>
        <w:tblpPr w:leftFromText="180" w:rightFromText="180" w:vertAnchor="text" w:horzAnchor="page" w:tblpX="1196" w:tblpY="2596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83"/>
        <w:gridCol w:w="6950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5.2 一期室内监控安装需求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0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98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02" name="Pictur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01" name="Pictur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99" name="Pictur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_1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3" name="Pictur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_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4" name="Pictur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_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05" name="Pictur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_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6" name="Pictur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_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7" name="Pictur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_1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08" name="Pictur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_1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09" name="Pictur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_1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10" name="Picture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_1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11" name="Picture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_1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12" name="Picture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_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室内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摄像机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内置GPU芯片，支持深度学习算法，有效提升检测准确率，采用高性能400万像素1/2.8英寸CMOS图像传感器，低照度效果好，图像清晰度高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支持H.265编码，压缩比高，实现超低码流传输；内置红外补光灯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支持报警2进2出，音频1进1出，最大支持256G Micro SD卡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支持DC12V/POE供电方式，支持12V电源返送，最大电流165mA,方便工程安装；支持IP67防护等级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最低照度彩色：0.001lx，黑白：0.0001 lx。（公安部检验报告证明）（提供公安部有效检测报告复印件加盖原厂公章或投标专用章）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宽动态不小于106dB，且宽动态综合评价得分不小于132。（公安部检验报告证明）（提供公安部有效检测报告复印件加盖原厂公章或投标专用章）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支持滤光片切换功能，摄像机可在白天、夜晚模式下自动切换滤光片进行成像。（公安部检验报告证明）（提供公安部有效检测报告复印件加盖原厂公章或投标专用章）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红外补光距离不小于250米。（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公安部检验报告证明）（提供公安部有效检测报告复印件加盖原厂公章或投标专用章）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支持场景自适应功能，可根据监控场景自动调节曝光模式。（公安部检验报告证明)（提供公安部有效检测报告复印件加盖原厂公章或投标专用章）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监控专用POE交换机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≥24个10/100/1000M电口（支持POE供电），≥2个千兆SFP光口，1个Console口；交换容量≥336Gbps，包转发率≥126Mpps；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MAC表容量≥8k；防护等级≥6KV；POE输出最大功率≥370W；交换机支持全网扫描诊断，智能动态拓扑，支持故障预警；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支持POE端口智能重启识别终端流量与功率电压，终端异常自动重启端口供电；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支持POE端口定时供电、支持查看POE交换机端口电压、电流、功率信息；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提供工信部进网许可证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提供3C认证证书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提供节能证书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硬盘录像机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4盘位主机（含硬盘）、存储90天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光模块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与监控专用POE交换机匹配使用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室外光缆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国标单模光缆12芯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光纤配线架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国产12口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六类线缆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国标六类非屏蔽网线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电源线缆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RVV2*1.5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机柜</w:t>
            </w: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规格：530*400*600  12U。材质：冷轧钢板。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</w:tbl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tbl>
      <w:tblPr>
        <w:tblStyle w:val="2"/>
        <w:tblpPr w:leftFromText="180" w:rightFromText="180" w:vertAnchor="text" w:horzAnchor="page" w:tblpX="1796" w:tblpY="623"/>
        <w:tblOverlap w:val="never"/>
        <w:tblW w:w="84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50"/>
        <w:gridCol w:w="5490"/>
        <w:gridCol w:w="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5.3二期室内监控安装需求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5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1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9" name="Pictur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10" name="Pictur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3" name="Pictur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2" name="Pictur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8" name="Pictur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4" name="Pictur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6" name="Pictur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1" name="Pictur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7" name="Pictur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23" name="Pictur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1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22" name="Picture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1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320040"/>
                  <wp:effectExtent l="0" t="0" r="0" b="0"/>
                  <wp:wrapNone/>
                  <wp:docPr id="21" name="Picture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1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single" w:color="000000" w:sz="4" w:space="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34315"/>
                  <wp:effectExtent l="0" t="0" r="0" b="0"/>
                  <wp:wrapNone/>
                  <wp:docPr id="20" name="Picture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参数要求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6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室内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摄像机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内置GPU芯片，支持深度学习算法，有效提升检测准确率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采用高性能400万像素1/2.8英寸CMOS图像传感器，低照度效果好，图像清晰度高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支持H.265编码，压缩比高，实现超低码流传输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内置红外补光灯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支持报警2进2出，音频1进1出，最大支持256G Micro SD卡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支持DC12V/POE供电方式，支持12V电源返送，最大电流165mA,方便工程安装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支持IP67防护等级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最低照度彩色：0.001lx，黑白：0.0001 lx。（公安部检验报告证明）（提供公安部有效检测报告复印件加盖原厂公章或投标专用章）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宽动态不小于106dB，且宽动态综合评价得分不小于132。（公安部检验报告证明）（提供公安部有效检测报告复印件加盖原厂公章或投标专用章）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支持滤光片切换功能，摄像机可在白天、夜晚模式下自动切换滤光片进行成像。（公安部检验报告证明）（提供公安部有效检测报告复印件加盖原厂公章或投标专用章）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红外补光距离不小于250米。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（公安部检验报告证明）（提供公安部有效检测报告复印件加盖原厂公章或投标专用章）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支持场景自适应功能，可根据监控场景自动调节曝光模式。（公安部检验报告证明)（提供公安部有效检测报告复印件加盖原厂公章或投标专用章）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监控专用POE交换机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≥24个10/100/1000M电口（支持POE供电），≥2个千兆SFP光口，1个Console口；交换容量≥336Gbps，包转发率≥126Mpps；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MAC表容量≥8k；防护等级≥6KV；POE输出最大功率≥370W；交换机支持全网扫描诊断，智能动态拓扑，支持故障预警；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支持POE端口智能重启识别终端流量与功率电压，终端异常自动重启端口供电；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支持POE端口定时供电、支持查看POE交换机端口电压、电流、功率信息；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提供3C认证证书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硬盘录像机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4盘位主机（含硬盘）、存储90天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六类线缆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国标六类非屏蔽网线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5.35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电源线缆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RVV2*1.5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600米</w:t>
            </w:r>
          </w:p>
        </w:tc>
      </w:tr>
    </w:tbl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5B1F7"/>
    <w:multiLevelType w:val="singleLevel"/>
    <w:tmpl w:val="06F5B1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Mzc2NjRmY2JmZDRkMTRlYTg0M2Y0ZjkzZjlhYmEifQ=="/>
  </w:docVars>
  <w:rsids>
    <w:rsidRoot w:val="007A75F2"/>
    <w:rsid w:val="00407A4F"/>
    <w:rsid w:val="0053564E"/>
    <w:rsid w:val="007A75F2"/>
    <w:rsid w:val="00D9637F"/>
    <w:rsid w:val="031C0F14"/>
    <w:rsid w:val="037C1244"/>
    <w:rsid w:val="055E1E0D"/>
    <w:rsid w:val="0588798B"/>
    <w:rsid w:val="05901376"/>
    <w:rsid w:val="05F73484"/>
    <w:rsid w:val="06964494"/>
    <w:rsid w:val="07DD0518"/>
    <w:rsid w:val="098A46BA"/>
    <w:rsid w:val="0AAA0BDE"/>
    <w:rsid w:val="1384699A"/>
    <w:rsid w:val="13F7382D"/>
    <w:rsid w:val="15033C6E"/>
    <w:rsid w:val="1DB67AAD"/>
    <w:rsid w:val="258F5082"/>
    <w:rsid w:val="2C5618CF"/>
    <w:rsid w:val="2C8C3A4C"/>
    <w:rsid w:val="2CAB494C"/>
    <w:rsid w:val="2ED0542E"/>
    <w:rsid w:val="34DD69F1"/>
    <w:rsid w:val="34FD7B87"/>
    <w:rsid w:val="372D0A42"/>
    <w:rsid w:val="38206066"/>
    <w:rsid w:val="38871941"/>
    <w:rsid w:val="388C01B2"/>
    <w:rsid w:val="42BE739E"/>
    <w:rsid w:val="48B825E1"/>
    <w:rsid w:val="4961028C"/>
    <w:rsid w:val="4E7F1AA9"/>
    <w:rsid w:val="52EC6D5A"/>
    <w:rsid w:val="56D96E1D"/>
    <w:rsid w:val="591946E0"/>
    <w:rsid w:val="59341548"/>
    <w:rsid w:val="5C6C4B26"/>
    <w:rsid w:val="5F5F6BC4"/>
    <w:rsid w:val="64ED5BBE"/>
    <w:rsid w:val="65A84C00"/>
    <w:rsid w:val="69DF4B8A"/>
    <w:rsid w:val="6C2154C2"/>
    <w:rsid w:val="7090052A"/>
    <w:rsid w:val="714C3197"/>
    <w:rsid w:val="72051478"/>
    <w:rsid w:val="774D5910"/>
    <w:rsid w:val="7C255834"/>
    <w:rsid w:val="7E9F0F2B"/>
    <w:rsid w:val="7F39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next w:val="6"/>
    <w:qFormat/>
    <w:uiPriority w:val="0"/>
    <w:pPr>
      <w:widowControl w:val="0"/>
      <w:jc w:val="both"/>
      <w:textAlignment w:val="baseline"/>
    </w:pPr>
    <w:rPr>
      <w:rFonts w:ascii="宋体" w:hAnsi="宋体" w:eastAsia="宋体" w:cs="Times New Roman"/>
      <w:kern w:val="2"/>
      <w:sz w:val="32"/>
      <w:szCs w:val="32"/>
      <w:lang w:val="zh-CN" w:eastAsia="zh-CN" w:bidi="zh-CN"/>
    </w:rPr>
  </w:style>
  <w:style w:type="paragraph" w:customStyle="1" w:styleId="6">
    <w:name w:val="BodyText2"/>
    <w:qFormat/>
    <w:uiPriority w:val="0"/>
    <w:pPr>
      <w:widowControl w:val="0"/>
      <w:spacing w:line="360" w:lineRule="auto"/>
      <w:ind w:firstLine="200" w:firstLineChars="200"/>
      <w:jc w:val="both"/>
      <w:textAlignment w:val="baseline"/>
    </w:pPr>
    <w:rPr>
      <w:rFonts w:ascii="Calibri" w:hAnsi="Calibri" w:eastAsia="楷体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2875</Words>
  <Characters>3346</Characters>
  <Lines>26</Lines>
  <Paragraphs>7</Paragraphs>
  <TotalTime>35</TotalTime>
  <ScaleCrop>false</ScaleCrop>
  <LinksUpToDate>false</LinksUpToDate>
  <CharactersWithSpaces>3407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2022-10-13T03:42:00Z</dcterms:created>
  <dc:creator>Administrator</dc:creator>
  <cp:lastModifiedBy>Administrator</cp:lastModifiedBy>
  <dcterms:modified xsi:type="dcterms:W3CDTF">2022-10-21T01:18:51Z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5F1FFEBB38B7493CBA492D8B9CB42075</vt:lpwstr>
  </property>
</Properties>
</file>